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5D6AC" w14:textId="32547ED2" w:rsidR="003F7ECB" w:rsidRDefault="00195B47" w:rsidP="00F401BB">
      <w:pPr>
        <w:tabs>
          <w:tab w:val="right" w:pos="10350"/>
        </w:tabs>
        <w:spacing w:before="73" w:line="203" w:lineRule="exact"/>
        <w:ind w:right="370"/>
        <w:jc w:val="right"/>
        <w:rPr>
          <w:rFonts w:ascii="Times New Roman"/>
          <w:sz w:val="1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B08363E" wp14:editId="01EBD951">
            <wp:simplePos x="0" y="0"/>
            <wp:positionH relativeFrom="page">
              <wp:posOffset>601884</wp:posOffset>
            </wp:positionH>
            <wp:positionV relativeFrom="paragraph">
              <wp:posOffset>97742</wp:posOffset>
            </wp:positionV>
            <wp:extent cx="1724627" cy="476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98" cy="494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1BB">
        <w:rPr>
          <w:rFonts w:ascii="Times New Roman"/>
          <w:sz w:val="18"/>
        </w:rPr>
        <w:t>Institutional Review Board Office</w:t>
      </w:r>
    </w:p>
    <w:p w14:paraId="6EB9394E" w14:textId="6E921A26" w:rsidR="003F7ECB" w:rsidRDefault="00195B47" w:rsidP="00F401BB">
      <w:pPr>
        <w:tabs>
          <w:tab w:val="right" w:pos="10260"/>
          <w:tab w:val="right" w:pos="10350"/>
        </w:tabs>
        <w:spacing w:before="1" w:line="232" w:lineRule="auto"/>
        <w:ind w:left="8407" w:right="370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Phone: (419)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372-7716</w:t>
      </w:r>
    </w:p>
    <w:p w14:paraId="52D867B6" w14:textId="0F88FAA8" w:rsidR="003F7ECB" w:rsidRDefault="00E46659" w:rsidP="00F401BB">
      <w:pPr>
        <w:tabs>
          <w:tab w:val="right" w:pos="10350"/>
        </w:tabs>
        <w:spacing w:line="200" w:lineRule="exact"/>
        <w:ind w:right="370"/>
        <w:jc w:val="right"/>
        <w:rPr>
          <w:rFonts w:ascii="Times New Roman"/>
          <w:sz w:val="18"/>
        </w:rPr>
      </w:pPr>
      <w:hyperlink r:id="rId6" w:history="1">
        <w:r w:rsidR="00F401BB" w:rsidRPr="008F624D">
          <w:rPr>
            <w:rStyle w:val="Hyperlink"/>
            <w:rFonts w:ascii="Times New Roman"/>
            <w:spacing w:val="-1"/>
            <w:sz w:val="18"/>
          </w:rPr>
          <w:t>irb@bgsu.edu</w:t>
        </w:r>
      </w:hyperlink>
    </w:p>
    <w:p w14:paraId="530F8D0E" w14:textId="77777777" w:rsidR="003F7ECB" w:rsidRDefault="003F7ECB">
      <w:pPr>
        <w:pStyle w:val="BodyText"/>
        <w:rPr>
          <w:rFonts w:ascii="Times New Roman"/>
          <w:sz w:val="20"/>
        </w:rPr>
      </w:pPr>
    </w:p>
    <w:p w14:paraId="16A3270F" w14:textId="77777777" w:rsidR="003F7ECB" w:rsidRDefault="003F7ECB">
      <w:pPr>
        <w:pStyle w:val="BodyText"/>
        <w:rPr>
          <w:rFonts w:ascii="Times New Roman"/>
          <w:sz w:val="16"/>
        </w:rPr>
      </w:pPr>
    </w:p>
    <w:p w14:paraId="0C1E1D2E" w14:textId="77777777" w:rsidR="003F7ECB" w:rsidRPr="0038277F" w:rsidRDefault="00195B47">
      <w:pPr>
        <w:spacing w:before="100"/>
        <w:ind w:left="2975" w:right="2975"/>
        <w:jc w:val="center"/>
        <w:rPr>
          <w:b/>
          <w:sz w:val="28"/>
          <w:szCs w:val="28"/>
        </w:rPr>
      </w:pPr>
      <w:r w:rsidRPr="0038277F">
        <w:rPr>
          <w:b/>
          <w:sz w:val="28"/>
          <w:szCs w:val="28"/>
        </w:rPr>
        <w:t>IRB PROCEDURE STATEMENT</w:t>
      </w:r>
    </w:p>
    <w:p w14:paraId="7A52200F" w14:textId="77777777" w:rsidR="003F7ECB" w:rsidRPr="00F56C3F" w:rsidRDefault="00195B47" w:rsidP="008F23D2">
      <w:pPr>
        <w:tabs>
          <w:tab w:val="left" w:pos="2160"/>
        </w:tabs>
        <w:spacing w:before="266"/>
        <w:ind w:left="104"/>
        <w:rPr>
          <w:sz w:val="24"/>
          <w:szCs w:val="24"/>
        </w:rPr>
      </w:pPr>
      <w:r w:rsidRPr="00BA7CEF">
        <w:rPr>
          <w:b/>
          <w:sz w:val="24"/>
          <w:szCs w:val="24"/>
          <w:u w:val="single"/>
        </w:rPr>
        <w:t>Procedure</w:t>
      </w:r>
      <w:r w:rsidRPr="00F56C3F">
        <w:rPr>
          <w:b/>
          <w:sz w:val="24"/>
          <w:szCs w:val="24"/>
        </w:rPr>
        <w:t>:</w:t>
      </w:r>
      <w:r w:rsidRPr="00F56C3F">
        <w:rPr>
          <w:b/>
          <w:sz w:val="24"/>
          <w:szCs w:val="24"/>
        </w:rPr>
        <w:tab/>
      </w:r>
      <w:r w:rsidRPr="00F56C3F">
        <w:rPr>
          <w:sz w:val="24"/>
          <w:szCs w:val="24"/>
        </w:rPr>
        <w:t>Approval and Expiration Dates for Informed Consent</w:t>
      </w:r>
      <w:r w:rsidRPr="00F56C3F">
        <w:rPr>
          <w:spacing w:val="-13"/>
          <w:sz w:val="24"/>
          <w:szCs w:val="24"/>
        </w:rPr>
        <w:t xml:space="preserve"> </w:t>
      </w:r>
      <w:r w:rsidRPr="00F56C3F">
        <w:rPr>
          <w:sz w:val="24"/>
          <w:szCs w:val="24"/>
        </w:rPr>
        <w:t>Documents</w:t>
      </w:r>
    </w:p>
    <w:p w14:paraId="3BA4E20D" w14:textId="77777777" w:rsidR="003F7ECB" w:rsidRPr="00F56C3F" w:rsidRDefault="00195B47" w:rsidP="008F23D2">
      <w:pPr>
        <w:tabs>
          <w:tab w:val="left" w:pos="2160"/>
          <w:tab w:val="left" w:pos="5145"/>
          <w:tab w:val="left" w:pos="6585"/>
        </w:tabs>
        <w:spacing w:before="267" w:line="325" w:lineRule="exact"/>
        <w:ind w:left="104"/>
        <w:rPr>
          <w:sz w:val="24"/>
          <w:szCs w:val="24"/>
        </w:rPr>
      </w:pPr>
      <w:r w:rsidRPr="00BA7CEF">
        <w:rPr>
          <w:b/>
          <w:sz w:val="24"/>
          <w:szCs w:val="24"/>
          <w:u w:val="single"/>
        </w:rPr>
        <w:t>Procedure</w:t>
      </w:r>
      <w:r w:rsidRPr="00BA7CEF">
        <w:rPr>
          <w:b/>
          <w:spacing w:val="-3"/>
          <w:sz w:val="24"/>
          <w:szCs w:val="24"/>
          <w:u w:val="single"/>
        </w:rPr>
        <w:t xml:space="preserve"> </w:t>
      </w:r>
      <w:r w:rsidRPr="00BA7CEF">
        <w:rPr>
          <w:b/>
          <w:sz w:val="24"/>
          <w:szCs w:val="24"/>
          <w:u w:val="single"/>
        </w:rPr>
        <w:t>ID</w:t>
      </w:r>
      <w:r w:rsidRPr="00BA7CEF">
        <w:rPr>
          <w:b/>
          <w:sz w:val="24"/>
          <w:szCs w:val="24"/>
        </w:rPr>
        <w:t>:</w:t>
      </w:r>
      <w:r w:rsidRPr="00F56C3F">
        <w:rPr>
          <w:b/>
          <w:sz w:val="24"/>
          <w:szCs w:val="24"/>
        </w:rPr>
        <w:tab/>
      </w:r>
      <w:r w:rsidRPr="00F56C3F">
        <w:rPr>
          <w:sz w:val="24"/>
          <w:szCs w:val="24"/>
        </w:rPr>
        <w:t>03-11-003</w:t>
      </w:r>
      <w:r w:rsidRPr="00F56C3F">
        <w:rPr>
          <w:sz w:val="24"/>
          <w:szCs w:val="24"/>
        </w:rPr>
        <w:tab/>
      </w:r>
      <w:r w:rsidRPr="00BA7CEF">
        <w:rPr>
          <w:b/>
          <w:sz w:val="24"/>
          <w:szCs w:val="24"/>
          <w:u w:val="single"/>
        </w:rPr>
        <w:t>Effective</w:t>
      </w:r>
      <w:r w:rsidRPr="00F56C3F">
        <w:rPr>
          <w:b/>
          <w:sz w:val="24"/>
          <w:szCs w:val="24"/>
        </w:rPr>
        <w:t>:</w:t>
      </w:r>
      <w:r w:rsidRPr="00F56C3F">
        <w:rPr>
          <w:b/>
          <w:sz w:val="24"/>
          <w:szCs w:val="24"/>
        </w:rPr>
        <w:tab/>
      </w:r>
      <w:r w:rsidRPr="00F56C3F">
        <w:rPr>
          <w:sz w:val="24"/>
          <w:szCs w:val="24"/>
        </w:rPr>
        <w:t>January 1,</w:t>
      </w:r>
      <w:r w:rsidRPr="00F56C3F">
        <w:rPr>
          <w:spacing w:val="-3"/>
          <w:sz w:val="24"/>
          <w:szCs w:val="24"/>
        </w:rPr>
        <w:t xml:space="preserve"> </w:t>
      </w:r>
      <w:r w:rsidRPr="00F56C3F">
        <w:rPr>
          <w:sz w:val="24"/>
          <w:szCs w:val="24"/>
        </w:rPr>
        <w:t>2004</w:t>
      </w:r>
    </w:p>
    <w:p w14:paraId="3F80D747" w14:textId="5CE78236" w:rsidR="003F7ECB" w:rsidRPr="00F56C3F" w:rsidRDefault="00195B47">
      <w:pPr>
        <w:tabs>
          <w:tab w:val="left" w:pos="6585"/>
        </w:tabs>
        <w:spacing w:line="325" w:lineRule="exact"/>
        <w:ind w:left="5145"/>
        <w:rPr>
          <w:sz w:val="24"/>
          <w:szCs w:val="24"/>
        </w:rPr>
      </w:pPr>
      <w:r w:rsidRPr="00BA7CEF">
        <w:rPr>
          <w:b/>
          <w:sz w:val="24"/>
          <w:szCs w:val="24"/>
          <w:u w:val="single"/>
        </w:rPr>
        <w:t>Revised</w:t>
      </w:r>
      <w:r w:rsidRPr="00BA7CEF">
        <w:rPr>
          <w:b/>
          <w:sz w:val="24"/>
          <w:szCs w:val="24"/>
        </w:rPr>
        <w:t>:</w:t>
      </w:r>
      <w:r w:rsidRPr="00F56C3F">
        <w:rPr>
          <w:b/>
          <w:sz w:val="24"/>
          <w:szCs w:val="24"/>
        </w:rPr>
        <w:tab/>
      </w:r>
      <w:r w:rsidR="0038277F">
        <w:rPr>
          <w:sz w:val="24"/>
          <w:szCs w:val="24"/>
        </w:rPr>
        <w:t>July 1</w:t>
      </w:r>
      <w:r w:rsidR="00737882" w:rsidRPr="00737882">
        <w:rPr>
          <w:sz w:val="24"/>
          <w:szCs w:val="24"/>
        </w:rPr>
        <w:t>, 2021</w:t>
      </w:r>
    </w:p>
    <w:p w14:paraId="5195823E" w14:textId="77777777" w:rsidR="003F7ECB" w:rsidRDefault="003F7ECB">
      <w:pPr>
        <w:pStyle w:val="BodyText"/>
        <w:spacing w:before="9"/>
        <w:rPr>
          <w:rFonts w:ascii="Helvetica"/>
          <w:sz w:val="17"/>
        </w:rPr>
      </w:pPr>
    </w:p>
    <w:p w14:paraId="6FB2530C" w14:textId="77777777" w:rsidR="003F7ECB" w:rsidRDefault="00195B47">
      <w:pPr>
        <w:pStyle w:val="Heading1"/>
        <w:numPr>
          <w:ilvl w:val="0"/>
          <w:numId w:val="1"/>
        </w:numPr>
        <w:tabs>
          <w:tab w:val="left" w:pos="825"/>
        </w:tabs>
        <w:spacing w:before="101"/>
        <w:ind w:hanging="361"/>
      </w:pPr>
      <w:r>
        <w:t>Background</w:t>
      </w:r>
    </w:p>
    <w:p w14:paraId="2728DAFD" w14:textId="77777777" w:rsidR="003F7ECB" w:rsidRDefault="003F7ECB">
      <w:pPr>
        <w:pStyle w:val="BodyText"/>
        <w:spacing w:before="8"/>
        <w:rPr>
          <w:rFonts w:ascii="Helvetica"/>
          <w:b/>
          <w:sz w:val="22"/>
        </w:rPr>
      </w:pPr>
    </w:p>
    <w:p w14:paraId="5EF8F8EF" w14:textId="17FAB445" w:rsidR="00737882" w:rsidRDefault="00544497" w:rsidP="00027A87">
      <w:pPr>
        <w:pStyle w:val="BodyText"/>
        <w:spacing w:before="1"/>
        <w:ind w:left="824" w:right="101"/>
      </w:pPr>
      <w:r>
        <w:t>The Office for Human Subjects Research Protections (</w:t>
      </w:r>
      <w:r w:rsidR="00195B47">
        <w:t>OHRP</w:t>
      </w:r>
      <w:r>
        <w:t xml:space="preserve">; </w:t>
      </w:r>
      <w:hyperlink r:id="rId7" w:history="1">
        <w:r w:rsidRPr="00544497">
          <w:rPr>
            <w:rStyle w:val="Hyperlink"/>
          </w:rPr>
          <w:t>https://www.hhs.gov/ohrp/</w:t>
        </w:r>
      </w:hyperlink>
      <w:r>
        <w:t xml:space="preserve">) </w:t>
      </w:r>
      <w:r w:rsidR="00195B47">
        <w:t xml:space="preserve">recommends that IRBs affix the approval and expiration dates to all approved informed </w:t>
      </w:r>
      <w:r w:rsidR="00195B47" w:rsidRPr="0052355C">
        <w:t>consent documents</w:t>
      </w:r>
      <w:r w:rsidR="002766DE" w:rsidRPr="0052355C">
        <w:t xml:space="preserve"> for full board and expedited review projects.</w:t>
      </w:r>
      <w:r w:rsidR="00195B47" w:rsidRPr="0052355C">
        <w:t xml:space="preserve"> </w:t>
      </w:r>
      <w:r w:rsidR="002766DE" w:rsidRPr="0052355C">
        <w:t>OHRP also</w:t>
      </w:r>
      <w:r w:rsidR="00195B47" w:rsidRPr="0052355C">
        <w:t xml:space="preserve"> stipulate</w:t>
      </w:r>
      <w:r w:rsidR="002766DE" w:rsidRPr="0052355C">
        <w:t>s</w:t>
      </w:r>
      <w:r w:rsidR="00195B47" w:rsidRPr="0052355C">
        <w:t xml:space="preserve"> that</w:t>
      </w:r>
      <w:r w:rsidR="00195B47">
        <w:t xml:space="preserve"> copies of these dated documents must be used in obtaining consent. This procedure helps ensure that only the current, IRB-approved informed consent documents are presented to subjects and serves as a reminder to </w:t>
      </w:r>
      <w:r w:rsidR="004B52C2">
        <w:t>some</w:t>
      </w:r>
      <w:r w:rsidR="00195B47">
        <w:t xml:space="preserve"> investigators of the need for continuing review.</w:t>
      </w:r>
      <w:r w:rsidR="002766DE">
        <w:t xml:space="preserve"> </w:t>
      </w:r>
    </w:p>
    <w:p w14:paraId="1FD06C58" w14:textId="77777777" w:rsidR="00737882" w:rsidRDefault="00737882" w:rsidP="00027A87">
      <w:pPr>
        <w:pStyle w:val="BodyText"/>
        <w:spacing w:before="1"/>
        <w:ind w:left="824" w:right="101"/>
        <w:rPr>
          <w:highlight w:val="yellow"/>
        </w:rPr>
      </w:pPr>
    </w:p>
    <w:p w14:paraId="0395F89C" w14:textId="2B6F2D33" w:rsidR="00287E66" w:rsidRDefault="00287E66" w:rsidP="00027A87">
      <w:pPr>
        <w:pStyle w:val="Heading1"/>
        <w:numPr>
          <w:ilvl w:val="0"/>
          <w:numId w:val="1"/>
        </w:numPr>
        <w:tabs>
          <w:tab w:val="left" w:pos="825"/>
        </w:tabs>
        <w:ind w:hanging="361"/>
      </w:pPr>
      <w:r>
        <w:t xml:space="preserve">Procedure </w:t>
      </w:r>
    </w:p>
    <w:p w14:paraId="6325BDAA" w14:textId="77777777" w:rsidR="00287E66" w:rsidRDefault="00287E66" w:rsidP="00027A87">
      <w:pPr>
        <w:pStyle w:val="Heading1"/>
        <w:tabs>
          <w:tab w:val="left" w:pos="825"/>
        </w:tabs>
        <w:ind w:firstLine="0"/>
      </w:pPr>
    </w:p>
    <w:p w14:paraId="0F084CAC" w14:textId="23CF2195" w:rsidR="003F7ECB" w:rsidRPr="00287E66" w:rsidRDefault="00287E66" w:rsidP="00027A87">
      <w:pPr>
        <w:pStyle w:val="BodyText"/>
        <w:spacing w:before="1"/>
        <w:ind w:left="824" w:right="101"/>
      </w:pPr>
      <w:r>
        <w:t>For an</w:t>
      </w:r>
      <w:r w:rsidR="0052355C">
        <w:t xml:space="preserve"> Exempt review,</w:t>
      </w:r>
      <w:r>
        <w:t xml:space="preserve"> </w:t>
      </w:r>
      <w:r w:rsidR="0052355C">
        <w:t xml:space="preserve">changes may be made to the study without IRB approval. </w:t>
      </w:r>
      <w:r w:rsidR="000D3D72" w:rsidRPr="00B95AE3">
        <w:rPr>
          <w:spacing w:val="-3"/>
        </w:rPr>
        <w:t xml:space="preserve">However, </w:t>
      </w:r>
      <w:r w:rsidR="000D3D72" w:rsidRPr="00B95AE3">
        <w:t>amendments or</w:t>
      </w:r>
      <w:r w:rsidR="000D3D72" w:rsidRPr="00B95AE3">
        <w:rPr>
          <w:spacing w:val="-3"/>
        </w:rPr>
        <w:t xml:space="preserve"> </w:t>
      </w:r>
      <w:r w:rsidR="000D3D72" w:rsidRPr="00B95AE3">
        <w:t>modifications</w:t>
      </w:r>
      <w:r w:rsidR="000D3D72" w:rsidRPr="00B95AE3">
        <w:rPr>
          <w:spacing w:val="-3"/>
        </w:rPr>
        <w:t xml:space="preserve"> </w:t>
      </w:r>
      <w:r w:rsidR="000D3D72" w:rsidRPr="00B95AE3">
        <w:t>to</w:t>
      </w:r>
      <w:r w:rsidR="000D3D72" w:rsidRPr="00B95AE3">
        <w:rPr>
          <w:spacing w:val="-3"/>
        </w:rPr>
        <w:t xml:space="preserve"> </w:t>
      </w:r>
      <w:r w:rsidR="000D3D72" w:rsidRPr="00B95AE3">
        <w:t>Exempt</w:t>
      </w:r>
      <w:r w:rsidR="000D3D72" w:rsidRPr="00B95AE3">
        <w:rPr>
          <w:spacing w:val="-3"/>
        </w:rPr>
        <w:t xml:space="preserve"> </w:t>
      </w:r>
      <w:r w:rsidR="000D3D72" w:rsidRPr="00B95AE3">
        <w:t>studies</w:t>
      </w:r>
      <w:r w:rsidR="000D3D72" w:rsidRPr="00B95AE3">
        <w:rPr>
          <w:spacing w:val="-3"/>
        </w:rPr>
        <w:t xml:space="preserve"> </w:t>
      </w:r>
      <w:r w:rsidR="000D3D72" w:rsidRPr="00B95AE3">
        <w:t>that</w:t>
      </w:r>
      <w:r w:rsidR="000D3D72" w:rsidRPr="00B95AE3">
        <w:rPr>
          <w:spacing w:val="-2"/>
        </w:rPr>
        <w:t xml:space="preserve"> </w:t>
      </w:r>
      <w:r w:rsidR="000D3D72" w:rsidRPr="00B95AE3">
        <w:rPr>
          <w:i/>
        </w:rPr>
        <w:t>substantively</w:t>
      </w:r>
      <w:r w:rsidR="000D3D72" w:rsidRPr="00B95AE3">
        <w:rPr>
          <w:i/>
          <w:spacing w:val="-2"/>
        </w:rPr>
        <w:t xml:space="preserve"> </w:t>
      </w:r>
      <w:r w:rsidR="000D3D72" w:rsidRPr="00B95AE3">
        <w:rPr>
          <w:i/>
        </w:rPr>
        <w:t>change</w:t>
      </w:r>
      <w:r w:rsidR="000D3D72" w:rsidRPr="00B95AE3">
        <w:rPr>
          <w:i/>
          <w:spacing w:val="-3"/>
        </w:rPr>
        <w:t xml:space="preserve"> </w:t>
      </w:r>
      <w:r w:rsidR="000D3D72" w:rsidRPr="00B95AE3">
        <w:rPr>
          <w:i/>
        </w:rPr>
        <w:t>or</w:t>
      </w:r>
      <w:r w:rsidR="000D3D72" w:rsidRPr="00B95AE3">
        <w:rPr>
          <w:i/>
          <w:spacing w:val="-3"/>
        </w:rPr>
        <w:t xml:space="preserve"> </w:t>
      </w:r>
      <w:r w:rsidR="000D3D72" w:rsidRPr="00B95AE3">
        <w:rPr>
          <w:i/>
        </w:rPr>
        <w:t>alter</w:t>
      </w:r>
      <w:r w:rsidR="000D3D72" w:rsidRPr="00B95AE3">
        <w:rPr>
          <w:i/>
          <w:spacing w:val="-3"/>
        </w:rPr>
        <w:t xml:space="preserve"> </w:t>
      </w:r>
      <w:r w:rsidR="000D3D72" w:rsidRPr="00B95AE3">
        <w:t>the</w:t>
      </w:r>
      <w:r w:rsidR="000D3D72" w:rsidRPr="00B95AE3">
        <w:rPr>
          <w:spacing w:val="-3"/>
        </w:rPr>
        <w:t xml:space="preserve"> </w:t>
      </w:r>
      <w:r w:rsidR="000D3D72" w:rsidRPr="00B95AE3">
        <w:t>criteria</w:t>
      </w:r>
      <w:r w:rsidR="000D3D72" w:rsidRPr="00B95AE3">
        <w:rPr>
          <w:spacing w:val="-3"/>
        </w:rPr>
        <w:t xml:space="preserve"> </w:t>
      </w:r>
      <w:r w:rsidR="000D3D72" w:rsidRPr="00B95AE3">
        <w:t>used</w:t>
      </w:r>
      <w:r w:rsidR="000D3D72" w:rsidRPr="00B95AE3">
        <w:rPr>
          <w:spacing w:val="-3"/>
        </w:rPr>
        <w:t xml:space="preserve"> </w:t>
      </w:r>
      <w:r w:rsidR="000D3D72" w:rsidRPr="00B95AE3">
        <w:t>to</w:t>
      </w:r>
      <w:r w:rsidR="000D3D72" w:rsidRPr="00B95AE3">
        <w:rPr>
          <w:spacing w:val="-2"/>
        </w:rPr>
        <w:t xml:space="preserve"> </w:t>
      </w:r>
      <w:r w:rsidR="000D3D72" w:rsidRPr="00B95AE3">
        <w:t>make</w:t>
      </w:r>
      <w:r w:rsidR="000D3D72" w:rsidRPr="00B95AE3">
        <w:rPr>
          <w:spacing w:val="-3"/>
        </w:rPr>
        <w:t xml:space="preserve"> </w:t>
      </w:r>
      <w:r w:rsidR="000D3D72" w:rsidRPr="00B95AE3">
        <w:t>the</w:t>
      </w:r>
      <w:r w:rsidR="000D3D72" w:rsidRPr="00B95AE3">
        <w:rPr>
          <w:spacing w:val="-3"/>
        </w:rPr>
        <w:t xml:space="preserve"> </w:t>
      </w:r>
      <w:r w:rsidR="000D3D72" w:rsidRPr="00B95AE3">
        <w:t>initial Exempt determination must be submitted to</w:t>
      </w:r>
      <w:r w:rsidR="004C3C32">
        <w:t xml:space="preserve"> </w:t>
      </w:r>
      <w:r w:rsidR="000D3D72" w:rsidRPr="00B95AE3">
        <w:t>the IRB for</w:t>
      </w:r>
      <w:r w:rsidR="000D3D72" w:rsidRPr="00B95AE3">
        <w:rPr>
          <w:spacing w:val="-14"/>
        </w:rPr>
        <w:t xml:space="preserve"> </w:t>
      </w:r>
      <w:r w:rsidR="000D3D72" w:rsidRPr="00B95AE3">
        <w:t>approval.</w:t>
      </w:r>
      <w:r w:rsidR="0052355C" w:rsidRPr="0052355C">
        <w:t xml:space="preserve"> </w:t>
      </w:r>
      <w:r w:rsidR="0082633F">
        <w:t>I</w:t>
      </w:r>
      <w:r w:rsidR="0052355C" w:rsidRPr="00B95AE3">
        <w:t>nformed consent documents</w:t>
      </w:r>
      <w:r w:rsidR="0082633F">
        <w:t xml:space="preserve"> for </w:t>
      </w:r>
      <w:r w:rsidR="0082633F" w:rsidRPr="00B95AE3">
        <w:t xml:space="preserve">Exempt projects </w:t>
      </w:r>
      <w:r w:rsidR="0052355C" w:rsidRPr="00B95AE3">
        <w:t xml:space="preserve">are not stamped because there is no </w:t>
      </w:r>
      <w:r w:rsidR="0082633F">
        <w:t>annual</w:t>
      </w:r>
      <w:r w:rsidR="0052355C" w:rsidRPr="00B95AE3">
        <w:t xml:space="preserve"> continuing review report required.</w:t>
      </w:r>
    </w:p>
    <w:p w14:paraId="51FA766F" w14:textId="77777777" w:rsidR="003F7ECB" w:rsidRDefault="003F7ECB" w:rsidP="00027A87">
      <w:pPr>
        <w:pStyle w:val="BodyText"/>
        <w:spacing w:before="9"/>
        <w:rPr>
          <w:rFonts w:ascii="Helvetica"/>
          <w:b/>
          <w:sz w:val="22"/>
        </w:rPr>
      </w:pPr>
    </w:p>
    <w:p w14:paraId="109E4F60" w14:textId="6A3E27B0" w:rsidR="003F7ECB" w:rsidRDefault="00287E66" w:rsidP="00027A87">
      <w:pPr>
        <w:pStyle w:val="BodyText"/>
        <w:ind w:left="824" w:right="99"/>
      </w:pPr>
      <w:r>
        <w:t>For Full Board or Expedited reviews, after</w:t>
      </w:r>
      <w:r w:rsidR="00195B47">
        <w:t xml:space="preserve"> notification of final approval of a new</w:t>
      </w:r>
      <w:r w:rsidR="00737882">
        <w:t xml:space="preserve"> </w:t>
      </w:r>
      <w:r w:rsidR="008F23D2">
        <w:t>F</w:t>
      </w:r>
      <w:r w:rsidR="00737882">
        <w:t xml:space="preserve">ull </w:t>
      </w:r>
      <w:r w:rsidR="008F23D2">
        <w:t>B</w:t>
      </w:r>
      <w:r w:rsidR="00737882">
        <w:t xml:space="preserve">oard or </w:t>
      </w:r>
      <w:r w:rsidR="008F23D2">
        <w:t>E</w:t>
      </w:r>
      <w:r w:rsidR="00737882">
        <w:t>xpedited</w:t>
      </w:r>
      <w:r w:rsidR="00195B47">
        <w:t xml:space="preserve"> IRB application, a continuation request, or an amendment request resulting in new or revised consent documents, the </w:t>
      </w:r>
      <w:r w:rsidR="00737882">
        <w:t>IRB office</w:t>
      </w:r>
      <w:r w:rsidR="00195B47">
        <w:t xml:space="preserve"> will date all relevant consent documents with the date on which approval became effective and </w:t>
      </w:r>
      <w:r w:rsidR="008F23D2">
        <w:t xml:space="preserve">the </w:t>
      </w:r>
      <w:r w:rsidR="00195B47">
        <w:t>date on which the approval expires. The approval period will never be for more than</w:t>
      </w:r>
      <w:r w:rsidR="008F23D2">
        <w:t xml:space="preserve"> 12 months</w:t>
      </w:r>
      <w:r w:rsidR="00195B47">
        <w:t xml:space="preserve">, and may </w:t>
      </w:r>
      <w:r w:rsidR="008F23D2">
        <w:t>be less than 12</w:t>
      </w:r>
      <w:r w:rsidR="008F23D2">
        <w:rPr>
          <w:spacing w:val="-4"/>
        </w:rPr>
        <w:t xml:space="preserve"> </w:t>
      </w:r>
      <w:r w:rsidR="008F23D2">
        <w:t xml:space="preserve">months </w:t>
      </w:r>
      <w:r w:rsidR="00195B47">
        <w:t>(e.g., for consent documents chan</w:t>
      </w:r>
      <w:r>
        <w:t>ged</w:t>
      </w:r>
      <w:r w:rsidR="00195B47">
        <w:t xml:space="preserve"> as the result of a modification request).</w:t>
      </w:r>
    </w:p>
    <w:p w14:paraId="2457E18E" w14:textId="77777777" w:rsidR="003F7ECB" w:rsidRDefault="003F7ECB" w:rsidP="00027A87">
      <w:pPr>
        <w:pStyle w:val="BodyText"/>
      </w:pPr>
    </w:p>
    <w:p w14:paraId="5A74C998" w14:textId="57C69BAB" w:rsidR="003F7ECB" w:rsidRDefault="00195B47" w:rsidP="00027A87">
      <w:pPr>
        <w:pStyle w:val="BodyText"/>
        <w:spacing w:before="1"/>
        <w:ind w:left="824" w:right="102"/>
      </w:pPr>
      <w:r>
        <w:t xml:space="preserve">A master copy of the dated documents will be provided to the PI and copies of these dated documents must be used in obtaining consent. </w:t>
      </w:r>
      <w:r w:rsidR="00737882">
        <w:t xml:space="preserve">These forms </w:t>
      </w:r>
      <w:r>
        <w:t xml:space="preserve">can be found </w:t>
      </w:r>
      <w:r w:rsidR="00737882">
        <w:t xml:space="preserve">by the PI </w:t>
      </w:r>
      <w:r w:rsidR="00B95AE3">
        <w:t>for the project at</w:t>
      </w:r>
      <w:r w:rsidR="00737882">
        <w:t xml:space="preserve"> </w:t>
      </w:r>
      <w:hyperlink r:id="rId8" w:history="1">
        <w:r w:rsidR="00737882" w:rsidRPr="00B95AE3">
          <w:rPr>
            <w:rStyle w:val="Hyperlink"/>
          </w:rPr>
          <w:t>irbnet.org</w:t>
        </w:r>
      </w:hyperlink>
      <w:r w:rsidR="00737882">
        <w:t>.</w:t>
      </w:r>
    </w:p>
    <w:p w14:paraId="4332A35C" w14:textId="6D8570EA" w:rsidR="003F7ECB" w:rsidRDefault="003F7ECB" w:rsidP="00027A87">
      <w:pPr>
        <w:pStyle w:val="BodyText"/>
        <w:spacing w:before="1"/>
      </w:pPr>
    </w:p>
    <w:p w14:paraId="3349A304" w14:textId="77777777" w:rsidR="00287E66" w:rsidRDefault="00287E66" w:rsidP="00027A87">
      <w:pPr>
        <w:pStyle w:val="BodyText"/>
        <w:spacing w:before="1"/>
      </w:pPr>
    </w:p>
    <w:p w14:paraId="08B1E042" w14:textId="3E2A248C" w:rsidR="003F7ECB" w:rsidRDefault="00195B47" w:rsidP="00027A87">
      <w:pPr>
        <w:pStyle w:val="BodyText"/>
        <w:ind w:left="824" w:right="107"/>
      </w:pPr>
      <w:r>
        <w:t xml:space="preserve">NOTE: </w:t>
      </w:r>
      <w:r w:rsidR="00737882">
        <w:t>T</w:t>
      </w:r>
      <w:r>
        <w:t>his policy</w:t>
      </w:r>
      <w:r w:rsidR="00737882">
        <w:t xml:space="preserve"> of </w:t>
      </w:r>
      <w:r w:rsidR="00287E66" w:rsidRPr="00287E66">
        <w:rPr>
          <w:i/>
        </w:rPr>
        <w:t>assigning dates to consent</w:t>
      </w:r>
      <w:r w:rsidR="00737882" w:rsidRPr="00287E66">
        <w:rPr>
          <w:i/>
        </w:rPr>
        <w:t xml:space="preserve"> forms</w:t>
      </w:r>
      <w:r>
        <w:t xml:space="preserve"> applies to </w:t>
      </w:r>
      <w:r w:rsidR="00737882">
        <w:t>F</w:t>
      </w:r>
      <w:r>
        <w:t xml:space="preserve">ull Board projects, </w:t>
      </w:r>
      <w:r w:rsidR="002766DE">
        <w:t xml:space="preserve">and </w:t>
      </w:r>
      <w:r>
        <w:t>Expedited projects</w:t>
      </w:r>
      <w:r w:rsidR="00A93182">
        <w:t>.</w:t>
      </w:r>
      <w:r>
        <w:t xml:space="preserve"> For Exempt projects</w:t>
      </w:r>
      <w:r w:rsidR="002766DE">
        <w:t>,</w:t>
      </w:r>
      <w:r>
        <w:t xml:space="preserve"> no expiration date is affixed to consent forms.</w:t>
      </w:r>
    </w:p>
    <w:p w14:paraId="2AF503AB" w14:textId="77777777" w:rsidR="003F7ECB" w:rsidRDefault="003F7ECB">
      <w:pPr>
        <w:pStyle w:val="BodyText"/>
        <w:rPr>
          <w:sz w:val="20"/>
        </w:rPr>
      </w:pPr>
    </w:p>
    <w:p w14:paraId="4447CBC1" w14:textId="77777777" w:rsidR="003F7ECB" w:rsidRDefault="003F7ECB">
      <w:pPr>
        <w:pStyle w:val="BodyText"/>
        <w:rPr>
          <w:sz w:val="20"/>
        </w:rPr>
      </w:pPr>
    </w:p>
    <w:p w14:paraId="15A545BB" w14:textId="77777777" w:rsidR="0038277F" w:rsidRDefault="0038277F" w:rsidP="0038277F">
      <w:pPr>
        <w:tabs>
          <w:tab w:val="left" w:pos="5040"/>
          <w:tab w:val="left" w:pos="8657"/>
        </w:tabs>
        <w:rPr>
          <w:sz w:val="20"/>
          <w:szCs w:val="24"/>
        </w:rPr>
      </w:pPr>
    </w:p>
    <w:p w14:paraId="3CD10DB9" w14:textId="699509C9" w:rsidR="003F7ECB" w:rsidRDefault="00195B47" w:rsidP="0038277F">
      <w:pPr>
        <w:tabs>
          <w:tab w:val="left" w:pos="5040"/>
          <w:tab w:val="left" w:pos="8657"/>
        </w:tabs>
        <w:rPr>
          <w:rFonts w:ascii="Helvetica"/>
          <w:sz w:val="16"/>
        </w:rPr>
      </w:pPr>
      <w:r>
        <w:rPr>
          <w:rFonts w:ascii="Helvetica"/>
          <w:sz w:val="16"/>
        </w:rPr>
        <w:tab/>
        <w:t>Page 1</w:t>
      </w:r>
      <w:r>
        <w:rPr>
          <w:rFonts w:ascii="Helvetica"/>
          <w:spacing w:val="-2"/>
          <w:sz w:val="16"/>
        </w:rPr>
        <w:t xml:space="preserve"> </w:t>
      </w:r>
      <w:r>
        <w:rPr>
          <w:rFonts w:ascii="Helvetica"/>
          <w:sz w:val="16"/>
        </w:rPr>
        <w:t>of</w:t>
      </w:r>
      <w:r>
        <w:rPr>
          <w:rFonts w:ascii="Helvetica"/>
          <w:spacing w:val="2"/>
          <w:sz w:val="16"/>
        </w:rPr>
        <w:t xml:space="preserve"> </w:t>
      </w:r>
      <w:r>
        <w:rPr>
          <w:rFonts w:ascii="Helvetica"/>
          <w:sz w:val="16"/>
        </w:rPr>
        <w:t>1</w:t>
      </w:r>
      <w:r>
        <w:rPr>
          <w:rFonts w:ascii="Helvetica"/>
          <w:sz w:val="16"/>
        </w:rPr>
        <w:tab/>
      </w:r>
    </w:p>
    <w:sectPr w:rsidR="003F7ECB">
      <w:type w:val="continuous"/>
      <w:pgSz w:w="12240" w:h="15840"/>
      <w:pgMar w:top="10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F0B6F"/>
    <w:multiLevelType w:val="hybridMultilevel"/>
    <w:tmpl w:val="89F896F6"/>
    <w:lvl w:ilvl="0" w:tplc="0B0E82A6">
      <w:start w:val="1"/>
      <w:numFmt w:val="upperLetter"/>
      <w:lvlText w:val="%1."/>
      <w:lvlJc w:val="left"/>
      <w:pPr>
        <w:ind w:left="824" w:hanging="360"/>
        <w:jc w:val="left"/>
      </w:pPr>
      <w:rPr>
        <w:rFonts w:ascii="Helvetica" w:eastAsia="Helvetica" w:hAnsi="Helvetica" w:cs="Helvetica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A80EAA3C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en-US"/>
      </w:rPr>
    </w:lvl>
    <w:lvl w:ilvl="2" w:tplc="3D1A8BF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en-US"/>
      </w:rPr>
    </w:lvl>
    <w:lvl w:ilvl="3" w:tplc="9EBE62E0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en-US"/>
      </w:rPr>
    </w:lvl>
    <w:lvl w:ilvl="4" w:tplc="AA5C3DA4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en-US"/>
      </w:rPr>
    </w:lvl>
    <w:lvl w:ilvl="5" w:tplc="1040C850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en-US"/>
      </w:rPr>
    </w:lvl>
    <w:lvl w:ilvl="6" w:tplc="1E9A843E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en-US"/>
      </w:rPr>
    </w:lvl>
    <w:lvl w:ilvl="7" w:tplc="B22A85A6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en-US"/>
      </w:rPr>
    </w:lvl>
    <w:lvl w:ilvl="8" w:tplc="90F46B2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CB"/>
    <w:rsid w:val="00027A87"/>
    <w:rsid w:val="000A36AE"/>
    <w:rsid w:val="000D3D72"/>
    <w:rsid w:val="00195B47"/>
    <w:rsid w:val="002766DE"/>
    <w:rsid w:val="00287E66"/>
    <w:rsid w:val="0038277F"/>
    <w:rsid w:val="003851E3"/>
    <w:rsid w:val="003F7ECB"/>
    <w:rsid w:val="004517D1"/>
    <w:rsid w:val="004B52C2"/>
    <w:rsid w:val="004C3C32"/>
    <w:rsid w:val="0052355C"/>
    <w:rsid w:val="00544497"/>
    <w:rsid w:val="006E3E20"/>
    <w:rsid w:val="00737882"/>
    <w:rsid w:val="007F143A"/>
    <w:rsid w:val="0082633F"/>
    <w:rsid w:val="008E4118"/>
    <w:rsid w:val="008F23D2"/>
    <w:rsid w:val="00912851"/>
    <w:rsid w:val="00A93182"/>
    <w:rsid w:val="00AA406E"/>
    <w:rsid w:val="00B95AE3"/>
    <w:rsid w:val="00BA7CEF"/>
    <w:rsid w:val="00E46659"/>
    <w:rsid w:val="00F401BB"/>
    <w:rsid w:val="00F56C3F"/>
    <w:rsid w:val="00FC196A"/>
    <w:rsid w:val="00FC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ECD4"/>
  <w15:docId w15:val="{41E1E2CD-4296-CD44-A54C-AB8F6577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824" w:hanging="361"/>
      <w:outlineLvl w:val="0"/>
    </w:pPr>
    <w:rPr>
      <w:rFonts w:ascii="Helvetica" w:eastAsia="Helvetica" w:hAnsi="Helvetica" w:cs="Helvetic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4" w:hanging="361"/>
    </w:pPr>
    <w:rPr>
      <w:rFonts w:ascii="Helvetica" w:eastAsia="Helvetica" w:hAnsi="Helvetica" w:cs="Helvetica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444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bnet.org/releas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hs.gov/ohr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b@bgsu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and Expiration Dates - IC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and Expiration Dates - IC</dc:title>
  <dc:creator>ITS</dc:creator>
  <cp:lastModifiedBy>Kristin M Hagemyer</cp:lastModifiedBy>
  <cp:revision>2</cp:revision>
  <cp:lastPrinted>2021-02-26T15:24:00Z</cp:lastPrinted>
  <dcterms:created xsi:type="dcterms:W3CDTF">2021-06-30T19:36:00Z</dcterms:created>
  <dcterms:modified xsi:type="dcterms:W3CDTF">2021-06-30T19:36:00Z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2021-01-23T00:00:00Z</vt:filetime>
  </property>
</Properties>
</file>