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3202" w14:textId="2F80E84F" w:rsidR="00D03042" w:rsidRDefault="00BB7BE9" w:rsidP="00BB7BE9">
      <w:pPr>
        <w:spacing w:line="203" w:lineRule="exact"/>
        <w:ind w:right="103"/>
        <w:rPr>
          <w:rFonts w:ascii="Times New Roman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719A228" wp14:editId="0010EAA2">
            <wp:simplePos x="0" y="0"/>
            <wp:positionH relativeFrom="page">
              <wp:posOffset>751205</wp:posOffset>
            </wp:positionH>
            <wp:positionV relativeFrom="paragraph">
              <wp:posOffset>162686</wp:posOffset>
            </wp:positionV>
            <wp:extent cx="1973655" cy="545447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655" cy="54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C3EE1" w14:textId="77777777" w:rsidR="00D03042" w:rsidRDefault="00D03042">
      <w:pPr>
        <w:spacing w:line="203" w:lineRule="exact"/>
        <w:jc w:val="right"/>
        <w:rPr>
          <w:rFonts w:ascii="Times New Roman"/>
          <w:sz w:val="18"/>
        </w:rPr>
        <w:sectPr w:rsidR="00D03042" w:rsidSect="00E71DFE">
          <w:headerReference w:type="even" r:id="rId8"/>
          <w:footerReference w:type="even" r:id="rId9"/>
          <w:footerReference w:type="default" r:id="rId10"/>
          <w:type w:val="continuous"/>
          <w:pgSz w:w="12240" w:h="15840"/>
          <w:pgMar w:top="634" w:right="1008" w:bottom="1008" w:left="1008" w:header="720" w:footer="720" w:gutter="0"/>
          <w:cols w:num="2" w:space="720" w:equalWidth="0">
            <w:col w:w="6149" w:space="1804"/>
            <w:col w:w="2271"/>
          </w:cols>
        </w:sectPr>
      </w:pPr>
    </w:p>
    <w:p w14:paraId="4AA24DB2" w14:textId="022062F4" w:rsidR="0028613E" w:rsidRDefault="00BB7BE9" w:rsidP="00FD57E0">
      <w:pPr>
        <w:pStyle w:val="BodyText"/>
        <w:ind w:right="-18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 </w:t>
      </w:r>
      <w:r w:rsidR="00BB4102">
        <w:rPr>
          <w:rFonts w:ascii="Times New Roman"/>
          <w:sz w:val="18"/>
        </w:rPr>
        <w:t>Institutional Review Board Office</w:t>
      </w:r>
      <w:bookmarkStart w:id="1" w:name="HSRB_POLICY_AND_PROCEDURE_STATEMENT"/>
      <w:bookmarkEnd w:id="1"/>
    </w:p>
    <w:p w14:paraId="0600C54A" w14:textId="4FDF4906" w:rsidR="0028613E" w:rsidRDefault="0028613E" w:rsidP="00FD57E0">
      <w:pPr>
        <w:pStyle w:val="BodyText"/>
        <w:ind w:right="-18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Bowling Green,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43403</w:t>
      </w:r>
    </w:p>
    <w:p w14:paraId="4401549B" w14:textId="25F1BE89" w:rsidR="0028613E" w:rsidRDefault="0028613E" w:rsidP="00FD57E0">
      <w:pPr>
        <w:pStyle w:val="BodyText"/>
        <w:ind w:right="-18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Phone: (419)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372-7716</w:t>
      </w:r>
    </w:p>
    <w:p w14:paraId="6EF2B209" w14:textId="530BF8F7" w:rsidR="0028613E" w:rsidRDefault="003C114A" w:rsidP="00FD57E0">
      <w:pPr>
        <w:spacing w:line="200" w:lineRule="exact"/>
        <w:ind w:right="-18"/>
        <w:jc w:val="right"/>
        <w:rPr>
          <w:rFonts w:ascii="Times New Roman"/>
          <w:spacing w:val="-1"/>
          <w:sz w:val="18"/>
        </w:rPr>
      </w:pPr>
      <w:hyperlink r:id="rId11" w:history="1">
        <w:r w:rsidR="00BB4102" w:rsidRPr="004943EF">
          <w:rPr>
            <w:rStyle w:val="Hyperlink"/>
            <w:rFonts w:ascii="Times New Roman"/>
            <w:spacing w:val="-1"/>
            <w:sz w:val="18"/>
          </w:rPr>
          <w:t>irb@bgsu.edu</w:t>
        </w:r>
      </w:hyperlink>
    </w:p>
    <w:p w14:paraId="7BE5AEAC" w14:textId="356AF498" w:rsidR="00BB4102" w:rsidRDefault="00BB4102" w:rsidP="00C84B9E">
      <w:pPr>
        <w:spacing w:line="200" w:lineRule="exact"/>
        <w:ind w:right="400"/>
        <w:rPr>
          <w:rFonts w:ascii="Times New Roman"/>
          <w:sz w:val="18"/>
        </w:rPr>
      </w:pPr>
    </w:p>
    <w:p w14:paraId="63364BA6" w14:textId="77777777" w:rsidR="00BB4102" w:rsidRDefault="00BB4102" w:rsidP="00C7696C">
      <w:pPr>
        <w:spacing w:line="200" w:lineRule="exact"/>
        <w:ind w:right="400"/>
        <w:jc w:val="right"/>
        <w:rPr>
          <w:rFonts w:ascii="Times New Roman"/>
          <w:sz w:val="18"/>
        </w:rPr>
      </w:pPr>
    </w:p>
    <w:p w14:paraId="0E603D87" w14:textId="46F42D6C" w:rsidR="00D03042" w:rsidRDefault="0028613E" w:rsidP="00E71DFE">
      <w:pPr>
        <w:ind w:right="18"/>
        <w:jc w:val="center"/>
        <w:rPr>
          <w:b/>
          <w:sz w:val="32"/>
        </w:rPr>
      </w:pPr>
      <w:r w:rsidRPr="004008B0">
        <w:rPr>
          <w:b/>
          <w:sz w:val="28"/>
        </w:rPr>
        <w:t>IRB</w:t>
      </w:r>
      <w:r w:rsidR="006F21D9" w:rsidRPr="004008B0">
        <w:rPr>
          <w:b/>
          <w:sz w:val="28"/>
        </w:rPr>
        <w:t xml:space="preserve"> PR</w:t>
      </w:r>
      <w:r w:rsidRPr="004008B0">
        <w:rPr>
          <w:b/>
          <w:sz w:val="28"/>
        </w:rPr>
        <w:t>O</w:t>
      </w:r>
      <w:r w:rsidR="006F21D9" w:rsidRPr="004008B0">
        <w:rPr>
          <w:b/>
          <w:sz w:val="28"/>
        </w:rPr>
        <w:t>CEDU</w:t>
      </w:r>
      <w:r w:rsidRPr="004008B0">
        <w:rPr>
          <w:b/>
          <w:sz w:val="28"/>
        </w:rPr>
        <w:t>R</w:t>
      </w:r>
      <w:r w:rsidR="006F21D9" w:rsidRPr="004008B0">
        <w:rPr>
          <w:b/>
          <w:sz w:val="28"/>
        </w:rPr>
        <w:t>E STATEMENT</w:t>
      </w:r>
    </w:p>
    <w:p w14:paraId="207F5005" w14:textId="77777777" w:rsidR="00121B62" w:rsidRPr="00121B62" w:rsidRDefault="00121B62" w:rsidP="00E71DFE">
      <w:pPr>
        <w:snapToGrid w:val="0"/>
        <w:ind w:right="18"/>
        <w:jc w:val="center"/>
        <w:rPr>
          <w:b/>
          <w:sz w:val="24"/>
          <w:szCs w:val="24"/>
        </w:rPr>
      </w:pPr>
    </w:p>
    <w:p w14:paraId="3545E0FF" w14:textId="1BD7CACE" w:rsidR="00D03042" w:rsidRPr="00C7696C" w:rsidRDefault="006F21D9" w:rsidP="00C84B9E">
      <w:pPr>
        <w:tabs>
          <w:tab w:val="left" w:pos="2160"/>
        </w:tabs>
        <w:ind w:left="1440" w:right="-108" w:hanging="1440"/>
        <w:rPr>
          <w:sz w:val="24"/>
          <w:szCs w:val="24"/>
        </w:rPr>
      </w:pPr>
      <w:bookmarkStart w:id="2" w:name="Policy/Procedure:_Initial_Review_of_HSRB"/>
      <w:bookmarkEnd w:id="2"/>
      <w:r w:rsidRPr="00D93425">
        <w:rPr>
          <w:b/>
          <w:sz w:val="24"/>
          <w:u w:val="single"/>
        </w:rPr>
        <w:t>Procedure</w:t>
      </w:r>
      <w:r w:rsidRPr="00C7696C">
        <w:rPr>
          <w:b/>
          <w:sz w:val="24"/>
        </w:rPr>
        <w:t>:</w:t>
      </w:r>
      <w:r>
        <w:rPr>
          <w:b/>
          <w:sz w:val="28"/>
        </w:rPr>
        <w:tab/>
      </w:r>
      <w:r w:rsidR="0098629F">
        <w:rPr>
          <w:sz w:val="24"/>
          <w:szCs w:val="24"/>
        </w:rPr>
        <w:t>Procedures for Responding to Disapproval of a Research Project</w:t>
      </w:r>
      <w:r w:rsidR="00E71DFE">
        <w:rPr>
          <w:sz w:val="24"/>
          <w:szCs w:val="24"/>
        </w:rPr>
        <w:t xml:space="preserve"> (Appeal Request)</w:t>
      </w:r>
    </w:p>
    <w:p w14:paraId="54D55952" w14:textId="2A0834A8" w:rsidR="00D03042" w:rsidRDefault="00D03042" w:rsidP="00C84B9E">
      <w:pPr>
        <w:pStyle w:val="BodyText"/>
        <w:spacing w:before="1"/>
        <w:ind w:right="-108"/>
      </w:pPr>
    </w:p>
    <w:p w14:paraId="17D091F5" w14:textId="520DE24D" w:rsidR="00D03042" w:rsidRPr="00121B62" w:rsidRDefault="006F21D9" w:rsidP="00C84B9E">
      <w:pPr>
        <w:tabs>
          <w:tab w:val="left" w:pos="2160"/>
          <w:tab w:val="left" w:pos="2995"/>
          <w:tab w:val="left" w:pos="5875"/>
          <w:tab w:val="left" w:pos="7315"/>
        </w:tabs>
        <w:ind w:right="-108"/>
        <w:rPr>
          <w:sz w:val="24"/>
          <w:szCs w:val="24"/>
        </w:rPr>
      </w:pPr>
      <w:r w:rsidRPr="00D93425">
        <w:rPr>
          <w:b/>
          <w:sz w:val="24"/>
          <w:szCs w:val="24"/>
          <w:u w:val="single"/>
        </w:rPr>
        <w:t>Procedure</w:t>
      </w:r>
      <w:r w:rsidRPr="00D93425">
        <w:rPr>
          <w:b/>
          <w:spacing w:val="-1"/>
          <w:sz w:val="24"/>
          <w:szCs w:val="24"/>
          <w:u w:val="single"/>
        </w:rPr>
        <w:t xml:space="preserve"> </w:t>
      </w:r>
      <w:r w:rsidRPr="00D93425">
        <w:rPr>
          <w:b/>
          <w:sz w:val="24"/>
          <w:szCs w:val="24"/>
          <w:u w:val="single"/>
        </w:rPr>
        <w:t>ID</w:t>
      </w:r>
      <w:r w:rsidRPr="00D93425">
        <w:rPr>
          <w:b/>
          <w:sz w:val="24"/>
          <w:szCs w:val="24"/>
        </w:rPr>
        <w:t>:</w:t>
      </w:r>
      <w:r w:rsidRPr="00121B62">
        <w:rPr>
          <w:b/>
          <w:sz w:val="24"/>
          <w:szCs w:val="24"/>
        </w:rPr>
        <w:tab/>
      </w:r>
      <w:r w:rsidRPr="00121B62">
        <w:rPr>
          <w:sz w:val="24"/>
          <w:szCs w:val="24"/>
        </w:rPr>
        <w:t>0</w:t>
      </w:r>
      <w:r w:rsidR="00B46A19" w:rsidRPr="00121B62">
        <w:rPr>
          <w:sz w:val="24"/>
          <w:szCs w:val="24"/>
        </w:rPr>
        <w:t>5</w:t>
      </w:r>
      <w:r w:rsidRPr="00121B62">
        <w:rPr>
          <w:sz w:val="24"/>
          <w:szCs w:val="24"/>
        </w:rPr>
        <w:t>-</w:t>
      </w:r>
      <w:r w:rsidR="00B46A19" w:rsidRPr="00121B62">
        <w:rPr>
          <w:sz w:val="24"/>
          <w:szCs w:val="24"/>
        </w:rPr>
        <w:t>01</w:t>
      </w:r>
      <w:r w:rsidRPr="00121B62">
        <w:rPr>
          <w:sz w:val="24"/>
          <w:szCs w:val="24"/>
        </w:rPr>
        <w:t>-00</w:t>
      </w:r>
      <w:r w:rsidR="0098629F" w:rsidRPr="00121B62">
        <w:rPr>
          <w:sz w:val="24"/>
          <w:szCs w:val="24"/>
        </w:rPr>
        <w:t>5</w:t>
      </w:r>
      <w:r w:rsidRPr="00121B62">
        <w:rPr>
          <w:sz w:val="24"/>
          <w:szCs w:val="24"/>
        </w:rPr>
        <w:tab/>
      </w:r>
      <w:r w:rsidRPr="00D93425">
        <w:rPr>
          <w:b/>
          <w:sz w:val="24"/>
          <w:szCs w:val="24"/>
          <w:u w:val="single"/>
        </w:rPr>
        <w:t>Effective</w:t>
      </w:r>
      <w:r w:rsidRPr="00121B62">
        <w:rPr>
          <w:b/>
          <w:sz w:val="24"/>
          <w:szCs w:val="24"/>
        </w:rPr>
        <w:t>:</w:t>
      </w:r>
      <w:r w:rsidRPr="00121B62">
        <w:rPr>
          <w:b/>
          <w:sz w:val="24"/>
          <w:szCs w:val="24"/>
        </w:rPr>
        <w:tab/>
      </w:r>
      <w:r w:rsidR="00164B8F">
        <w:rPr>
          <w:sz w:val="24"/>
          <w:szCs w:val="24"/>
        </w:rPr>
        <w:t>July 1</w:t>
      </w:r>
      <w:r w:rsidR="00B46A19" w:rsidRPr="00121B62">
        <w:rPr>
          <w:sz w:val="24"/>
          <w:szCs w:val="24"/>
        </w:rPr>
        <w:t>, 2021</w:t>
      </w:r>
    </w:p>
    <w:p w14:paraId="6193D454" w14:textId="24182FE3" w:rsidR="00B46A19" w:rsidRPr="00121B62" w:rsidRDefault="00DC025F" w:rsidP="00C84B9E">
      <w:pPr>
        <w:tabs>
          <w:tab w:val="left" w:pos="2995"/>
          <w:tab w:val="left" w:pos="5875"/>
          <w:tab w:val="left" w:pos="7315"/>
        </w:tabs>
        <w:ind w:right="-108"/>
        <w:rPr>
          <w:sz w:val="24"/>
          <w:szCs w:val="24"/>
        </w:rPr>
      </w:pPr>
      <w:r w:rsidRPr="00121B62">
        <w:rPr>
          <w:sz w:val="24"/>
          <w:szCs w:val="24"/>
        </w:rPr>
        <w:tab/>
      </w:r>
      <w:r w:rsidRPr="00121B62">
        <w:rPr>
          <w:sz w:val="24"/>
          <w:szCs w:val="24"/>
        </w:rPr>
        <w:tab/>
      </w:r>
      <w:r w:rsidRPr="00121B62">
        <w:rPr>
          <w:sz w:val="24"/>
          <w:szCs w:val="24"/>
        </w:rPr>
        <w:tab/>
      </w:r>
    </w:p>
    <w:p w14:paraId="7EF24347" w14:textId="297B7012" w:rsidR="00D03042" w:rsidRPr="00121B62" w:rsidRDefault="006F21D9" w:rsidP="00C84B9E">
      <w:pPr>
        <w:pStyle w:val="Heading1"/>
        <w:numPr>
          <w:ilvl w:val="0"/>
          <w:numId w:val="2"/>
        </w:numPr>
        <w:tabs>
          <w:tab w:val="left" w:pos="476"/>
        </w:tabs>
        <w:ind w:left="360" w:right="-108"/>
      </w:pPr>
      <w:bookmarkStart w:id="3" w:name="Background"/>
      <w:bookmarkEnd w:id="3"/>
      <w:r w:rsidRPr="00121B62">
        <w:t>Background</w:t>
      </w:r>
    </w:p>
    <w:p w14:paraId="5E90B34F" w14:textId="63E27BCB" w:rsidR="00C367E5" w:rsidRPr="00121B62" w:rsidRDefault="0098629F" w:rsidP="00C84B9E">
      <w:pPr>
        <w:pStyle w:val="BodyText"/>
        <w:spacing w:before="120"/>
        <w:ind w:left="360" w:right="-108"/>
      </w:pPr>
      <w:r w:rsidRPr="00121B62">
        <w:t xml:space="preserve">After review of exempt, expedited, </w:t>
      </w:r>
      <w:r w:rsidR="003D6CD2" w:rsidRPr="00121B62">
        <w:t>or</w:t>
      </w:r>
      <w:r w:rsidRPr="00121B62">
        <w:t xml:space="preserve"> full board projects, the</w:t>
      </w:r>
      <w:r w:rsidR="007A4EF9" w:rsidRPr="007A4EF9">
        <w:t xml:space="preserve"> Institutional Review Board</w:t>
      </w:r>
      <w:r w:rsidR="007A4EF9">
        <w:t xml:space="preserve"> </w:t>
      </w:r>
      <w:r w:rsidRPr="00121B62">
        <w:t xml:space="preserve"> </w:t>
      </w:r>
      <w:r w:rsidR="00164B8F">
        <w:t>(</w:t>
      </w:r>
      <w:r w:rsidRPr="00121B62">
        <w:t>IRB</w:t>
      </w:r>
      <w:r w:rsidR="00164B8F">
        <w:t>)</w:t>
      </w:r>
      <w:r w:rsidRPr="00121B62">
        <w:t xml:space="preserve"> communicates the decision of approval or disapproval in writing to the Principal Investigator (PI). In rare instances, a PI may receive </w:t>
      </w:r>
      <w:r w:rsidR="00CD5D91" w:rsidRPr="00121B62">
        <w:t xml:space="preserve">a decision of </w:t>
      </w:r>
      <w:r w:rsidRPr="00121B62">
        <w:t xml:space="preserve">disapproval </w:t>
      </w:r>
      <w:r w:rsidR="00CD5D91" w:rsidRPr="00121B62">
        <w:t>for</w:t>
      </w:r>
      <w:r w:rsidRPr="00121B62">
        <w:t xml:space="preserve"> </w:t>
      </w:r>
      <w:r w:rsidR="003D6CD2" w:rsidRPr="00121B62">
        <w:t>a</w:t>
      </w:r>
      <w:r w:rsidRPr="00121B62">
        <w:t xml:space="preserve"> submitted project. The PI may respond to this disapproval</w:t>
      </w:r>
      <w:r w:rsidR="00B37D93" w:rsidRPr="00121B62">
        <w:t xml:space="preserve"> to </w:t>
      </w:r>
      <w:r w:rsidRPr="00121B62">
        <w:t>the Full Board of the IRB</w:t>
      </w:r>
      <w:r w:rsidR="00E71DFE">
        <w:t xml:space="preserve"> by submitting an </w:t>
      </w:r>
      <w:r w:rsidR="00E71DFE" w:rsidRPr="00E71DFE">
        <w:rPr>
          <w:b/>
        </w:rPr>
        <w:t>appeal request</w:t>
      </w:r>
      <w:r w:rsidR="00B37D93" w:rsidRPr="00121B62">
        <w:t>. The</w:t>
      </w:r>
      <w:r w:rsidR="008F18C4">
        <w:t xml:space="preserve"> Full Board of the</w:t>
      </w:r>
      <w:r w:rsidR="00B37D93" w:rsidRPr="00121B62">
        <w:t xml:space="preserve"> IRB</w:t>
      </w:r>
      <w:r w:rsidRPr="00121B62">
        <w:t xml:space="preserve"> will review</w:t>
      </w:r>
      <w:r w:rsidR="00B37D93" w:rsidRPr="00121B62">
        <w:t xml:space="preserve"> and vote on</w:t>
      </w:r>
      <w:r w:rsidRPr="00121B62">
        <w:t xml:space="preserve"> the PI’s </w:t>
      </w:r>
      <w:r w:rsidR="00121B62" w:rsidRPr="00121B62">
        <w:t xml:space="preserve">appeal </w:t>
      </w:r>
      <w:r w:rsidRPr="00121B62">
        <w:t xml:space="preserve">request to have the project </w:t>
      </w:r>
      <w:r w:rsidR="00C84B9E">
        <w:t xml:space="preserve">reviewed again for </w:t>
      </w:r>
      <w:r w:rsidR="008F18C4">
        <w:t xml:space="preserve">possible </w:t>
      </w:r>
      <w:r w:rsidRPr="00121B62">
        <w:t>approv</w:t>
      </w:r>
      <w:r w:rsidR="00C84B9E">
        <w:t>al</w:t>
      </w:r>
      <w:r w:rsidRPr="00121B62">
        <w:t>.</w:t>
      </w:r>
    </w:p>
    <w:p w14:paraId="7805B9CC" w14:textId="653B555B" w:rsidR="00B46A19" w:rsidRPr="00121B62" w:rsidRDefault="00B46A19" w:rsidP="00C84B9E">
      <w:pPr>
        <w:pStyle w:val="BodyText"/>
        <w:spacing w:before="2"/>
        <w:ind w:left="360" w:right="-108" w:hanging="360"/>
        <w:rPr>
          <w:color w:val="000000" w:themeColor="text1"/>
        </w:rPr>
      </w:pPr>
    </w:p>
    <w:p w14:paraId="45BC7B83" w14:textId="1A373C33" w:rsidR="00D03042" w:rsidRPr="00121B62" w:rsidRDefault="006F21D9" w:rsidP="00C84B9E">
      <w:pPr>
        <w:pStyle w:val="Heading1"/>
        <w:numPr>
          <w:ilvl w:val="0"/>
          <w:numId w:val="2"/>
        </w:numPr>
        <w:tabs>
          <w:tab w:val="left" w:pos="477"/>
        </w:tabs>
        <w:ind w:left="360" w:right="-108"/>
      </w:pPr>
      <w:bookmarkStart w:id="4" w:name="Procedure"/>
      <w:bookmarkEnd w:id="4"/>
      <w:r w:rsidRPr="00121B62">
        <w:t>Procedure</w:t>
      </w:r>
    </w:p>
    <w:p w14:paraId="6ADB318B" w14:textId="39C8E0B0" w:rsidR="00D03042" w:rsidRPr="00121B62" w:rsidRDefault="00D03042" w:rsidP="00C84B9E">
      <w:pPr>
        <w:pStyle w:val="BodyText"/>
        <w:spacing w:before="10"/>
        <w:ind w:left="360" w:right="-108" w:hanging="360"/>
        <w:rPr>
          <w:b/>
        </w:rPr>
      </w:pPr>
    </w:p>
    <w:p w14:paraId="63CFC911" w14:textId="16999EAA" w:rsidR="004008B0" w:rsidRDefault="0098629F" w:rsidP="00C84B9E">
      <w:pPr>
        <w:pStyle w:val="ListParagraph"/>
        <w:numPr>
          <w:ilvl w:val="0"/>
          <w:numId w:val="1"/>
        </w:numPr>
        <w:ind w:left="720" w:right="-108"/>
        <w:rPr>
          <w:sz w:val="24"/>
          <w:szCs w:val="24"/>
        </w:rPr>
      </w:pPr>
      <w:r w:rsidRPr="00121B62">
        <w:rPr>
          <w:sz w:val="24"/>
          <w:szCs w:val="24"/>
        </w:rPr>
        <w:t xml:space="preserve">The </w:t>
      </w:r>
      <w:r w:rsidR="00B46A19" w:rsidRPr="00121B62">
        <w:rPr>
          <w:sz w:val="24"/>
          <w:szCs w:val="24"/>
        </w:rPr>
        <w:t>PI</w:t>
      </w:r>
      <w:r w:rsidRPr="00121B62">
        <w:rPr>
          <w:sz w:val="24"/>
          <w:szCs w:val="24"/>
        </w:rPr>
        <w:t xml:space="preserve"> of </w:t>
      </w:r>
      <w:r w:rsidR="003D6CD2" w:rsidRPr="00121B62">
        <w:rPr>
          <w:sz w:val="24"/>
          <w:szCs w:val="24"/>
        </w:rPr>
        <w:t xml:space="preserve">a </w:t>
      </w:r>
      <w:r w:rsidR="00B46A19" w:rsidRPr="00121B62">
        <w:rPr>
          <w:sz w:val="24"/>
          <w:szCs w:val="24"/>
        </w:rPr>
        <w:t xml:space="preserve">research </w:t>
      </w:r>
      <w:r w:rsidRPr="00121B62">
        <w:rPr>
          <w:sz w:val="24"/>
          <w:szCs w:val="24"/>
        </w:rPr>
        <w:t>project that was not approved</w:t>
      </w:r>
      <w:r w:rsidR="003D6CD2" w:rsidRPr="00121B62">
        <w:rPr>
          <w:sz w:val="24"/>
          <w:szCs w:val="24"/>
        </w:rPr>
        <w:t xml:space="preserve"> during </w:t>
      </w:r>
      <w:r w:rsidR="00CD5D91" w:rsidRPr="00121B62">
        <w:rPr>
          <w:sz w:val="24"/>
          <w:szCs w:val="24"/>
        </w:rPr>
        <w:t>review by the IRB</w:t>
      </w:r>
      <w:r w:rsidR="003D6CD2" w:rsidRPr="00121B62">
        <w:rPr>
          <w:sz w:val="24"/>
          <w:szCs w:val="24"/>
        </w:rPr>
        <w:t>,</w:t>
      </w:r>
      <w:r w:rsidR="00B46A19" w:rsidRPr="00121B62">
        <w:rPr>
          <w:sz w:val="24"/>
          <w:szCs w:val="24"/>
        </w:rPr>
        <w:t xml:space="preserve"> </w:t>
      </w:r>
      <w:r w:rsidR="006F21D9" w:rsidRPr="00121B62">
        <w:rPr>
          <w:sz w:val="24"/>
          <w:szCs w:val="24"/>
        </w:rPr>
        <w:t xml:space="preserve">submits </w:t>
      </w:r>
      <w:r w:rsidR="008B4A2B" w:rsidRPr="00121B62">
        <w:rPr>
          <w:sz w:val="24"/>
          <w:szCs w:val="24"/>
        </w:rPr>
        <w:t xml:space="preserve">written documentation </w:t>
      </w:r>
      <w:r w:rsidR="00164B8F">
        <w:rPr>
          <w:sz w:val="24"/>
          <w:szCs w:val="24"/>
        </w:rPr>
        <w:t>via</w:t>
      </w:r>
      <w:r w:rsidR="008B4A2B" w:rsidRPr="00121B62">
        <w:rPr>
          <w:sz w:val="24"/>
          <w:szCs w:val="24"/>
        </w:rPr>
        <w:t xml:space="preserve"> email</w:t>
      </w:r>
      <w:r w:rsidR="00373FEB">
        <w:rPr>
          <w:sz w:val="24"/>
          <w:szCs w:val="24"/>
        </w:rPr>
        <w:t xml:space="preserve"> or </w:t>
      </w:r>
      <w:r w:rsidR="008B4A2B" w:rsidRPr="00121B62">
        <w:rPr>
          <w:sz w:val="24"/>
          <w:szCs w:val="24"/>
        </w:rPr>
        <w:t>letter</w:t>
      </w:r>
      <w:r w:rsidR="00164B8F">
        <w:rPr>
          <w:sz w:val="24"/>
          <w:szCs w:val="24"/>
        </w:rPr>
        <w:t xml:space="preserve"> </w:t>
      </w:r>
      <w:r w:rsidR="00B46A19" w:rsidRPr="00121B62">
        <w:rPr>
          <w:sz w:val="24"/>
          <w:szCs w:val="24"/>
        </w:rPr>
        <w:t xml:space="preserve">to the IRB </w:t>
      </w:r>
      <w:r w:rsidR="00121B62" w:rsidRPr="00121B62">
        <w:rPr>
          <w:sz w:val="24"/>
          <w:szCs w:val="24"/>
        </w:rPr>
        <w:t>O</w:t>
      </w:r>
      <w:r w:rsidR="00B46A19" w:rsidRPr="00121B62">
        <w:rPr>
          <w:sz w:val="24"/>
          <w:szCs w:val="24"/>
        </w:rPr>
        <w:t xml:space="preserve">ffice detailing the specifics of </w:t>
      </w:r>
      <w:r w:rsidR="0008182F">
        <w:rPr>
          <w:sz w:val="24"/>
          <w:szCs w:val="24"/>
        </w:rPr>
        <w:t xml:space="preserve">the </w:t>
      </w:r>
      <w:r w:rsidR="00BD30E7" w:rsidRPr="00E71DFE">
        <w:rPr>
          <w:b/>
          <w:sz w:val="24"/>
          <w:szCs w:val="24"/>
        </w:rPr>
        <w:t>appeal request</w:t>
      </w:r>
      <w:r w:rsidRPr="00121B62">
        <w:rPr>
          <w:sz w:val="24"/>
          <w:szCs w:val="24"/>
        </w:rPr>
        <w:t xml:space="preserve"> to the disapproval</w:t>
      </w:r>
      <w:r w:rsidR="00CD5D91" w:rsidRPr="00121B62">
        <w:rPr>
          <w:sz w:val="24"/>
          <w:szCs w:val="24"/>
        </w:rPr>
        <w:t>.</w:t>
      </w:r>
      <w:r w:rsidR="00C367E5" w:rsidRPr="00121B62">
        <w:rPr>
          <w:sz w:val="24"/>
          <w:szCs w:val="24"/>
        </w:rPr>
        <w:t xml:space="preserve"> </w:t>
      </w:r>
      <w:r w:rsidR="00B46A19" w:rsidRPr="00121B62">
        <w:rPr>
          <w:sz w:val="24"/>
          <w:szCs w:val="24"/>
        </w:rPr>
        <w:t xml:space="preserve">Additional materials </w:t>
      </w:r>
      <w:r w:rsidRPr="00121B62">
        <w:rPr>
          <w:sz w:val="24"/>
          <w:szCs w:val="24"/>
        </w:rPr>
        <w:t>may be</w:t>
      </w:r>
      <w:r w:rsidR="00B46A19" w:rsidRPr="00121B62">
        <w:rPr>
          <w:sz w:val="24"/>
          <w:szCs w:val="24"/>
        </w:rPr>
        <w:t xml:space="preserve"> included as appendices to support statements made in the </w:t>
      </w:r>
      <w:r w:rsidR="00373FEB">
        <w:rPr>
          <w:sz w:val="24"/>
          <w:szCs w:val="24"/>
        </w:rPr>
        <w:t>appeal</w:t>
      </w:r>
      <w:r w:rsidRPr="00121B62">
        <w:rPr>
          <w:sz w:val="24"/>
          <w:szCs w:val="24"/>
        </w:rPr>
        <w:t xml:space="preserve"> request</w:t>
      </w:r>
      <w:r w:rsidR="00B46A19" w:rsidRPr="00121B62">
        <w:rPr>
          <w:sz w:val="24"/>
          <w:szCs w:val="24"/>
        </w:rPr>
        <w:t xml:space="preserve">. </w:t>
      </w:r>
      <w:r w:rsidR="003D6CD2" w:rsidRPr="00121B62">
        <w:rPr>
          <w:sz w:val="24"/>
          <w:szCs w:val="24"/>
        </w:rPr>
        <w:t xml:space="preserve">This request should be made within </w:t>
      </w:r>
      <w:r w:rsidR="00C84B9E">
        <w:rPr>
          <w:sz w:val="24"/>
          <w:szCs w:val="24"/>
        </w:rPr>
        <w:t>10</w:t>
      </w:r>
      <w:r w:rsidR="0008182F">
        <w:rPr>
          <w:sz w:val="24"/>
          <w:szCs w:val="24"/>
        </w:rPr>
        <w:t xml:space="preserve"> </w:t>
      </w:r>
      <w:r w:rsidR="00164B8F">
        <w:rPr>
          <w:sz w:val="24"/>
          <w:szCs w:val="24"/>
        </w:rPr>
        <w:t xml:space="preserve">business </w:t>
      </w:r>
      <w:r w:rsidR="003D6CD2" w:rsidRPr="00121B62">
        <w:rPr>
          <w:sz w:val="24"/>
          <w:szCs w:val="24"/>
        </w:rPr>
        <w:t>days of the disapproval notification to the PI.</w:t>
      </w:r>
    </w:p>
    <w:p w14:paraId="7907DF72" w14:textId="77777777" w:rsidR="004008B0" w:rsidRDefault="004008B0" w:rsidP="00C84B9E">
      <w:pPr>
        <w:pStyle w:val="ListParagraph"/>
        <w:ind w:left="720" w:right="-108" w:firstLine="0"/>
        <w:rPr>
          <w:sz w:val="24"/>
          <w:szCs w:val="24"/>
        </w:rPr>
      </w:pPr>
    </w:p>
    <w:p w14:paraId="1D9A98B6" w14:textId="5A903DF0" w:rsidR="00164B8F" w:rsidRPr="004008B0" w:rsidRDefault="00164B8F" w:rsidP="00C84B9E">
      <w:pPr>
        <w:pStyle w:val="ListParagraph"/>
        <w:numPr>
          <w:ilvl w:val="0"/>
          <w:numId w:val="1"/>
        </w:numPr>
        <w:ind w:left="720" w:right="-108"/>
        <w:rPr>
          <w:sz w:val="24"/>
          <w:szCs w:val="24"/>
        </w:rPr>
      </w:pPr>
      <w:r w:rsidRPr="004008B0">
        <w:rPr>
          <w:sz w:val="24"/>
          <w:szCs w:val="24"/>
        </w:rPr>
        <w:t xml:space="preserve">The Research Compliance Officer </w:t>
      </w:r>
      <w:r w:rsidR="008F18C4">
        <w:rPr>
          <w:sz w:val="24"/>
          <w:szCs w:val="24"/>
        </w:rPr>
        <w:t xml:space="preserve">(RCO) </w:t>
      </w:r>
      <w:r w:rsidRPr="004008B0">
        <w:rPr>
          <w:sz w:val="24"/>
          <w:szCs w:val="24"/>
        </w:rPr>
        <w:t>assists the IRB</w:t>
      </w:r>
      <w:r w:rsidR="00E71DFE">
        <w:rPr>
          <w:sz w:val="24"/>
          <w:szCs w:val="24"/>
        </w:rPr>
        <w:t xml:space="preserve"> Office</w:t>
      </w:r>
      <w:r w:rsidRPr="004008B0">
        <w:rPr>
          <w:sz w:val="24"/>
          <w:szCs w:val="24"/>
        </w:rPr>
        <w:t xml:space="preserve"> in gathering information about the appeal request. The IRB Chair </w:t>
      </w:r>
      <w:r w:rsidR="00E71DFE">
        <w:rPr>
          <w:sz w:val="24"/>
          <w:szCs w:val="24"/>
        </w:rPr>
        <w:t>consults</w:t>
      </w:r>
      <w:r w:rsidRPr="004008B0">
        <w:rPr>
          <w:sz w:val="24"/>
          <w:szCs w:val="24"/>
        </w:rPr>
        <w:t xml:space="preserve"> with the </w:t>
      </w:r>
      <w:r w:rsidR="00C84B9E">
        <w:rPr>
          <w:sz w:val="24"/>
          <w:szCs w:val="24"/>
        </w:rPr>
        <w:t>Vice-President for Research and Economic Engagement (</w:t>
      </w:r>
      <w:r w:rsidRPr="004008B0">
        <w:rPr>
          <w:sz w:val="24"/>
          <w:szCs w:val="24"/>
        </w:rPr>
        <w:t>VPREE</w:t>
      </w:r>
      <w:r w:rsidR="00C84B9E">
        <w:rPr>
          <w:sz w:val="24"/>
          <w:szCs w:val="24"/>
        </w:rPr>
        <w:t>)</w:t>
      </w:r>
      <w:r w:rsidRPr="004008B0">
        <w:rPr>
          <w:sz w:val="24"/>
          <w:szCs w:val="24"/>
        </w:rPr>
        <w:t xml:space="preserve">, </w:t>
      </w:r>
      <w:r w:rsidR="00C84B9E">
        <w:rPr>
          <w:sz w:val="24"/>
          <w:szCs w:val="24"/>
        </w:rPr>
        <w:t>RCO</w:t>
      </w:r>
      <w:r w:rsidRPr="004008B0">
        <w:rPr>
          <w:sz w:val="24"/>
          <w:szCs w:val="24"/>
        </w:rPr>
        <w:t>, IRB Vice-Chair, and/or IRB Administrator</w:t>
      </w:r>
      <w:r w:rsidR="00716584">
        <w:rPr>
          <w:sz w:val="24"/>
          <w:szCs w:val="24"/>
        </w:rPr>
        <w:t xml:space="preserve"> when gathering information about the appeal request.</w:t>
      </w:r>
      <w:r w:rsidR="00E71DFE">
        <w:rPr>
          <w:sz w:val="24"/>
          <w:szCs w:val="24"/>
        </w:rPr>
        <w:t xml:space="preserve"> </w:t>
      </w:r>
    </w:p>
    <w:p w14:paraId="2CE64B33" w14:textId="4D1B37C4" w:rsidR="00906D44" w:rsidRPr="00164B8F" w:rsidRDefault="00906D44" w:rsidP="00C84B9E">
      <w:pPr>
        <w:pStyle w:val="ListParagraph"/>
        <w:tabs>
          <w:tab w:val="left" w:pos="476"/>
        </w:tabs>
        <w:ind w:left="540" w:right="-108" w:firstLine="0"/>
        <w:rPr>
          <w:sz w:val="24"/>
        </w:rPr>
      </w:pPr>
    </w:p>
    <w:p w14:paraId="6AC278A3" w14:textId="4B9B48E0" w:rsidR="004008B0" w:rsidRDefault="004008B0" w:rsidP="00C84B9E">
      <w:pPr>
        <w:pStyle w:val="ListParagraph"/>
        <w:numPr>
          <w:ilvl w:val="0"/>
          <w:numId w:val="1"/>
        </w:numPr>
        <w:ind w:left="720" w:right="-108"/>
        <w:rPr>
          <w:sz w:val="24"/>
          <w:szCs w:val="24"/>
        </w:rPr>
      </w:pPr>
      <w:r>
        <w:rPr>
          <w:sz w:val="24"/>
          <w:szCs w:val="24"/>
        </w:rPr>
        <w:t>The</w:t>
      </w:r>
      <w:r w:rsidR="00906D44" w:rsidRPr="00121B62">
        <w:rPr>
          <w:sz w:val="24"/>
          <w:szCs w:val="24"/>
        </w:rPr>
        <w:t xml:space="preserve"> </w:t>
      </w:r>
      <w:r>
        <w:rPr>
          <w:sz w:val="24"/>
          <w:szCs w:val="24"/>
        </w:rPr>
        <w:t>appeal request</w:t>
      </w:r>
      <w:r w:rsidR="00906D44" w:rsidRPr="00121B62">
        <w:rPr>
          <w:sz w:val="24"/>
          <w:szCs w:val="24"/>
        </w:rPr>
        <w:t xml:space="preserve"> is referred to </w:t>
      </w:r>
      <w:r w:rsidR="00716584">
        <w:rPr>
          <w:sz w:val="24"/>
          <w:szCs w:val="24"/>
        </w:rPr>
        <w:t xml:space="preserve">the </w:t>
      </w:r>
      <w:r w:rsidR="00C84B9E" w:rsidRPr="00121B62">
        <w:rPr>
          <w:sz w:val="24"/>
          <w:szCs w:val="24"/>
        </w:rPr>
        <w:t>Full Board of the IRB</w:t>
      </w:r>
      <w:r w:rsidR="00906D44" w:rsidRPr="00121B62">
        <w:rPr>
          <w:sz w:val="24"/>
          <w:szCs w:val="24"/>
        </w:rPr>
        <w:t xml:space="preserve"> </w:t>
      </w:r>
      <w:r w:rsidR="00C84B9E">
        <w:rPr>
          <w:sz w:val="24"/>
          <w:szCs w:val="24"/>
        </w:rPr>
        <w:t xml:space="preserve">at the </w:t>
      </w:r>
      <w:r w:rsidR="00906D44" w:rsidRPr="00121B62">
        <w:rPr>
          <w:sz w:val="24"/>
          <w:szCs w:val="24"/>
        </w:rPr>
        <w:t>next meeting</w:t>
      </w:r>
      <w:r>
        <w:rPr>
          <w:sz w:val="24"/>
          <w:szCs w:val="24"/>
        </w:rPr>
        <w:t xml:space="preserve"> or on-call meeting</w:t>
      </w:r>
      <w:r w:rsidR="00906D44" w:rsidRPr="00121B62">
        <w:rPr>
          <w:sz w:val="24"/>
          <w:szCs w:val="24"/>
        </w:rPr>
        <w:t xml:space="preserve">. The </w:t>
      </w:r>
      <w:r w:rsidR="0098629F" w:rsidRPr="00121B62">
        <w:rPr>
          <w:sz w:val="24"/>
          <w:szCs w:val="24"/>
        </w:rPr>
        <w:t>PI</w:t>
      </w:r>
      <w:r w:rsidR="00906D44" w:rsidRPr="00121B62">
        <w:rPr>
          <w:sz w:val="24"/>
          <w:szCs w:val="24"/>
        </w:rPr>
        <w:t xml:space="preserve"> presents the </w:t>
      </w:r>
      <w:r w:rsidR="0008182F">
        <w:rPr>
          <w:sz w:val="24"/>
          <w:szCs w:val="24"/>
        </w:rPr>
        <w:t xml:space="preserve">appeal </w:t>
      </w:r>
      <w:r w:rsidR="00A14C43" w:rsidRPr="00121B62">
        <w:rPr>
          <w:sz w:val="24"/>
          <w:szCs w:val="24"/>
        </w:rPr>
        <w:t>request</w:t>
      </w:r>
      <w:r w:rsidR="00906D44" w:rsidRPr="00121B62">
        <w:rPr>
          <w:sz w:val="24"/>
          <w:szCs w:val="24"/>
        </w:rPr>
        <w:t xml:space="preserve"> to the Full Board, the IRB Chair presents</w:t>
      </w:r>
      <w:r w:rsidR="00E71DFE">
        <w:rPr>
          <w:sz w:val="24"/>
          <w:szCs w:val="24"/>
        </w:rPr>
        <w:t xml:space="preserve"> any</w:t>
      </w:r>
      <w:r w:rsidR="00906D44" w:rsidRPr="00121B62">
        <w:rPr>
          <w:sz w:val="24"/>
          <w:szCs w:val="24"/>
        </w:rPr>
        <w:t xml:space="preserve"> </w:t>
      </w:r>
      <w:r w:rsidR="003D6CD2" w:rsidRPr="00121B62">
        <w:rPr>
          <w:sz w:val="24"/>
          <w:szCs w:val="24"/>
        </w:rPr>
        <w:t xml:space="preserve">information from the </w:t>
      </w:r>
      <w:r>
        <w:rPr>
          <w:sz w:val="24"/>
          <w:szCs w:val="24"/>
        </w:rPr>
        <w:t>IRB administrative review</w:t>
      </w:r>
      <w:r w:rsidR="00906D44" w:rsidRPr="00121B62">
        <w:rPr>
          <w:sz w:val="24"/>
          <w:szCs w:val="24"/>
        </w:rPr>
        <w:t xml:space="preserve">, </w:t>
      </w:r>
      <w:r w:rsidR="0098629F" w:rsidRPr="00121B62">
        <w:rPr>
          <w:sz w:val="24"/>
          <w:szCs w:val="24"/>
        </w:rPr>
        <w:t xml:space="preserve">and </w:t>
      </w:r>
      <w:r w:rsidR="00906D44" w:rsidRPr="00121B62">
        <w:rPr>
          <w:sz w:val="24"/>
          <w:szCs w:val="24"/>
        </w:rPr>
        <w:t xml:space="preserve">the Full Board </w:t>
      </w:r>
      <w:r w:rsidR="0098629F" w:rsidRPr="00121B62">
        <w:rPr>
          <w:sz w:val="24"/>
          <w:szCs w:val="24"/>
        </w:rPr>
        <w:t xml:space="preserve">is allocated time for questions to the PI and </w:t>
      </w:r>
      <w:r w:rsidR="00397FFC">
        <w:rPr>
          <w:sz w:val="24"/>
          <w:szCs w:val="24"/>
        </w:rPr>
        <w:t xml:space="preserve">others involved in </w:t>
      </w:r>
      <w:r>
        <w:rPr>
          <w:sz w:val="24"/>
          <w:szCs w:val="24"/>
        </w:rPr>
        <w:t>this</w:t>
      </w:r>
      <w:r w:rsidR="00397FFC">
        <w:rPr>
          <w:sz w:val="24"/>
          <w:szCs w:val="24"/>
        </w:rPr>
        <w:t xml:space="preserve"> appeal request</w:t>
      </w:r>
      <w:r w:rsidR="0098629F" w:rsidRPr="00121B62">
        <w:rPr>
          <w:sz w:val="24"/>
          <w:szCs w:val="24"/>
        </w:rPr>
        <w:t>.</w:t>
      </w:r>
      <w:r w:rsidR="00906D44" w:rsidRPr="00121B62">
        <w:rPr>
          <w:sz w:val="24"/>
          <w:szCs w:val="24"/>
        </w:rPr>
        <w:t xml:space="preserve"> </w:t>
      </w:r>
      <w:r w:rsidR="0098629F" w:rsidRPr="00121B62">
        <w:rPr>
          <w:sz w:val="24"/>
          <w:szCs w:val="24"/>
        </w:rPr>
        <w:t>The PI is excused from the meeting</w:t>
      </w:r>
      <w:r w:rsidR="00A14C43" w:rsidRPr="00121B62">
        <w:rPr>
          <w:sz w:val="24"/>
          <w:szCs w:val="24"/>
        </w:rPr>
        <w:t>. T</w:t>
      </w:r>
      <w:r w:rsidR="0098629F" w:rsidRPr="00121B62">
        <w:rPr>
          <w:sz w:val="24"/>
          <w:szCs w:val="24"/>
        </w:rPr>
        <w:t xml:space="preserve">he IRB may continue </w:t>
      </w:r>
      <w:r w:rsidR="00121B62" w:rsidRPr="00121B62">
        <w:rPr>
          <w:sz w:val="24"/>
          <w:szCs w:val="24"/>
        </w:rPr>
        <w:t>deliberations</w:t>
      </w:r>
      <w:r w:rsidR="0098629F" w:rsidRPr="00121B62">
        <w:rPr>
          <w:sz w:val="24"/>
          <w:szCs w:val="24"/>
        </w:rPr>
        <w:t xml:space="preserve"> </w:t>
      </w:r>
      <w:r w:rsidR="00A14C43" w:rsidRPr="00121B62">
        <w:rPr>
          <w:sz w:val="24"/>
          <w:szCs w:val="24"/>
        </w:rPr>
        <w:t xml:space="preserve">about </w:t>
      </w:r>
      <w:r w:rsidR="0098629F" w:rsidRPr="00121B6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appeal </w:t>
      </w:r>
      <w:r w:rsidR="0098629F" w:rsidRPr="00121B62">
        <w:rPr>
          <w:sz w:val="24"/>
          <w:szCs w:val="24"/>
        </w:rPr>
        <w:t xml:space="preserve">request. </w:t>
      </w:r>
    </w:p>
    <w:p w14:paraId="419AF36F" w14:textId="77777777" w:rsidR="004008B0" w:rsidRPr="004008B0" w:rsidRDefault="004008B0" w:rsidP="00C84B9E">
      <w:pPr>
        <w:pStyle w:val="ListParagraph"/>
        <w:ind w:right="-108"/>
        <w:rPr>
          <w:sz w:val="24"/>
          <w:szCs w:val="24"/>
        </w:rPr>
      </w:pPr>
    </w:p>
    <w:p w14:paraId="4A40DA27" w14:textId="77777777" w:rsidR="00E71DFE" w:rsidRPr="004008B0" w:rsidRDefault="004008B0" w:rsidP="00C84B9E">
      <w:pPr>
        <w:pStyle w:val="ListParagraph"/>
        <w:numPr>
          <w:ilvl w:val="0"/>
          <w:numId w:val="1"/>
        </w:numPr>
        <w:snapToGrid w:val="0"/>
        <w:ind w:left="720" w:right="-108"/>
        <w:rPr>
          <w:sz w:val="24"/>
          <w:szCs w:val="24"/>
        </w:rPr>
      </w:pPr>
      <w:r w:rsidRPr="004008B0">
        <w:rPr>
          <w:sz w:val="24"/>
          <w:szCs w:val="24"/>
        </w:rPr>
        <w:t xml:space="preserve">Unless there is a motion to table the appeal request, a vote of all members of the Full Board is taken at the meeting. Votes are tallied and the outcome/action for the appeal request </w:t>
      </w:r>
      <w:r w:rsidR="00E71DFE">
        <w:rPr>
          <w:sz w:val="24"/>
          <w:szCs w:val="24"/>
        </w:rPr>
        <w:t>is</w:t>
      </w:r>
      <w:r w:rsidRPr="004008B0">
        <w:rPr>
          <w:sz w:val="24"/>
          <w:szCs w:val="24"/>
        </w:rPr>
        <w:t xml:space="preserve"> recorded. </w:t>
      </w:r>
      <w:r w:rsidR="00E71DFE" w:rsidRPr="00121B62">
        <w:rPr>
          <w:sz w:val="24"/>
          <w:szCs w:val="24"/>
        </w:rPr>
        <w:t xml:space="preserve">This review of the Full Board of the IRB is the final decision for </w:t>
      </w:r>
      <w:r w:rsidR="00E71DFE">
        <w:rPr>
          <w:sz w:val="24"/>
          <w:szCs w:val="24"/>
        </w:rPr>
        <w:t>support</w:t>
      </w:r>
      <w:r w:rsidR="00E71DFE" w:rsidRPr="00121B62">
        <w:rPr>
          <w:sz w:val="24"/>
          <w:szCs w:val="24"/>
        </w:rPr>
        <w:t xml:space="preserve"> or </w:t>
      </w:r>
      <w:r w:rsidR="00E71DFE">
        <w:rPr>
          <w:sz w:val="24"/>
          <w:szCs w:val="24"/>
        </w:rPr>
        <w:t>nonsupport</w:t>
      </w:r>
      <w:r w:rsidR="00E71DFE" w:rsidRPr="00121B62">
        <w:rPr>
          <w:sz w:val="24"/>
          <w:szCs w:val="24"/>
        </w:rPr>
        <w:t xml:space="preserve"> of the appeal request.</w:t>
      </w:r>
    </w:p>
    <w:p w14:paraId="37A140AE" w14:textId="77777777" w:rsidR="004008B0" w:rsidRPr="004008B0" w:rsidRDefault="004008B0" w:rsidP="00C84B9E">
      <w:pPr>
        <w:ind w:right="-108"/>
        <w:rPr>
          <w:sz w:val="24"/>
          <w:szCs w:val="24"/>
        </w:rPr>
      </w:pPr>
    </w:p>
    <w:p w14:paraId="0AAF489B" w14:textId="6B467AA6" w:rsidR="00BB7BE9" w:rsidRDefault="004008B0" w:rsidP="00BB7BE9">
      <w:pPr>
        <w:pStyle w:val="ListParagraph"/>
        <w:numPr>
          <w:ilvl w:val="0"/>
          <w:numId w:val="1"/>
        </w:numPr>
        <w:ind w:left="720" w:right="-108"/>
        <w:rPr>
          <w:sz w:val="24"/>
          <w:szCs w:val="24"/>
        </w:rPr>
      </w:pPr>
      <w:r w:rsidRPr="004008B0">
        <w:rPr>
          <w:sz w:val="24"/>
          <w:szCs w:val="24"/>
        </w:rPr>
        <w:t xml:space="preserve">A final summary of the </w:t>
      </w:r>
      <w:r>
        <w:rPr>
          <w:sz w:val="24"/>
          <w:szCs w:val="24"/>
        </w:rPr>
        <w:t>appeal request</w:t>
      </w:r>
      <w:r w:rsidRPr="004008B0">
        <w:rPr>
          <w:sz w:val="24"/>
          <w:szCs w:val="24"/>
        </w:rPr>
        <w:t xml:space="preserve"> and decision by the IRB is written. The IRB Office notifies the</w:t>
      </w:r>
      <w:r w:rsidR="00716584">
        <w:rPr>
          <w:sz w:val="24"/>
          <w:szCs w:val="24"/>
        </w:rPr>
        <w:t xml:space="preserve"> PI,</w:t>
      </w:r>
      <w:r w:rsidRPr="004008B0">
        <w:rPr>
          <w:sz w:val="24"/>
          <w:szCs w:val="24"/>
        </w:rPr>
        <w:t xml:space="preserve"> Full Board, the </w:t>
      </w:r>
      <w:r w:rsidR="00C84B9E">
        <w:rPr>
          <w:sz w:val="24"/>
          <w:szCs w:val="24"/>
        </w:rPr>
        <w:t>RCO</w:t>
      </w:r>
      <w:r w:rsidRPr="004008B0">
        <w:rPr>
          <w:sz w:val="24"/>
          <w:szCs w:val="24"/>
        </w:rPr>
        <w:t xml:space="preserve">, and VPREE in writing within 5 </w:t>
      </w:r>
      <w:r>
        <w:rPr>
          <w:sz w:val="24"/>
          <w:szCs w:val="24"/>
        </w:rPr>
        <w:t xml:space="preserve">business </w:t>
      </w:r>
      <w:r w:rsidRPr="004008B0">
        <w:rPr>
          <w:sz w:val="24"/>
          <w:szCs w:val="24"/>
        </w:rPr>
        <w:t>days of the outcome of the</w:t>
      </w:r>
      <w:r w:rsidRPr="004008B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appeal request</w:t>
      </w:r>
      <w:r w:rsidRPr="004008B0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4008B0">
        <w:rPr>
          <w:sz w:val="24"/>
          <w:szCs w:val="24"/>
        </w:rPr>
        <w:t>opies</w:t>
      </w:r>
      <w:r w:rsidR="00011678">
        <w:rPr>
          <w:sz w:val="24"/>
          <w:szCs w:val="24"/>
        </w:rPr>
        <w:t xml:space="preserve"> of this final summary</w:t>
      </w:r>
      <w:r w:rsidRPr="004008B0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4008B0">
        <w:rPr>
          <w:sz w:val="24"/>
          <w:szCs w:val="24"/>
        </w:rPr>
        <w:t xml:space="preserve"> provided to the PI’s </w:t>
      </w:r>
      <w:r>
        <w:rPr>
          <w:sz w:val="24"/>
          <w:szCs w:val="24"/>
        </w:rPr>
        <w:t xml:space="preserve">Chair, </w:t>
      </w:r>
      <w:r w:rsidRPr="004008B0">
        <w:rPr>
          <w:sz w:val="24"/>
          <w:szCs w:val="24"/>
        </w:rPr>
        <w:t>Dean</w:t>
      </w:r>
      <w:r>
        <w:rPr>
          <w:sz w:val="24"/>
          <w:szCs w:val="24"/>
        </w:rPr>
        <w:t>,</w:t>
      </w:r>
      <w:r w:rsidR="00C84B9E">
        <w:rPr>
          <w:sz w:val="24"/>
          <w:szCs w:val="24"/>
        </w:rPr>
        <w:t xml:space="preserve"> </w:t>
      </w:r>
      <w:r w:rsidRPr="004008B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Pr="004008B0">
        <w:rPr>
          <w:sz w:val="24"/>
          <w:szCs w:val="24"/>
        </w:rPr>
        <w:t>Provost.</w:t>
      </w:r>
    </w:p>
    <w:p w14:paraId="01810800" w14:textId="77777777" w:rsidR="00BB7BE9" w:rsidRPr="00BB7BE9" w:rsidRDefault="00BB7BE9" w:rsidP="00BB7BE9">
      <w:pPr>
        <w:pStyle w:val="ListParagraph"/>
        <w:rPr>
          <w:sz w:val="18"/>
          <w:szCs w:val="18"/>
        </w:rPr>
      </w:pPr>
    </w:p>
    <w:sectPr w:rsidR="00BB7BE9" w:rsidRPr="00BB7BE9" w:rsidSect="00C84B9E">
      <w:type w:val="continuous"/>
      <w:pgSz w:w="12240" w:h="15840"/>
      <w:pgMar w:top="1224" w:right="1224" w:bottom="720" w:left="122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337A" w16cex:dateUtc="2021-04-16T2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D34ED" w14:textId="77777777" w:rsidR="003C114A" w:rsidRDefault="003C114A" w:rsidP="00E71DFE">
      <w:r>
        <w:separator/>
      </w:r>
    </w:p>
  </w:endnote>
  <w:endnote w:type="continuationSeparator" w:id="0">
    <w:p w14:paraId="00F0B06A" w14:textId="77777777" w:rsidR="003C114A" w:rsidRDefault="003C114A" w:rsidP="00E7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2047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9D9AA4" w14:textId="4780AD82" w:rsidR="00E71DFE" w:rsidRDefault="00E71DFE" w:rsidP="006306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FA73E8" w14:textId="77777777" w:rsidR="00E71DFE" w:rsidRDefault="00E71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1218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CD8785" w14:textId="78CC37C8" w:rsidR="00E71DFE" w:rsidRDefault="003C114A" w:rsidP="00630648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6330802D" w14:textId="028E5588" w:rsidR="00BB7BE9" w:rsidRPr="00BB7BE9" w:rsidRDefault="00BB7BE9" w:rsidP="00BB7BE9">
    <w:pPr>
      <w:ind w:right="-108"/>
      <w:rPr>
        <w:sz w:val="24"/>
        <w:szCs w:val="24"/>
      </w:rPr>
    </w:pPr>
    <w:r w:rsidRPr="00BB7BE9">
      <w:rPr>
        <w:i/>
        <w:sz w:val="18"/>
        <w:szCs w:val="18"/>
      </w:rPr>
      <w:t>Note.</w:t>
    </w:r>
    <w:r>
      <w:rPr>
        <w:sz w:val="18"/>
        <w:szCs w:val="18"/>
      </w:rPr>
      <w:t xml:space="preserve"> </w:t>
    </w:r>
    <w:r w:rsidRPr="00BB7BE9">
      <w:rPr>
        <w:sz w:val="18"/>
        <w:szCs w:val="18"/>
      </w:rPr>
      <w:t>Adapted from OHRP guidelines and IRB procedures at other academic institutions.</w:t>
    </w:r>
  </w:p>
  <w:p w14:paraId="0043F724" w14:textId="77777777" w:rsidR="00E71DFE" w:rsidRDefault="00E71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8B54" w14:textId="77777777" w:rsidR="003C114A" w:rsidRDefault="003C114A" w:rsidP="00E71DFE">
      <w:r>
        <w:separator/>
      </w:r>
    </w:p>
  </w:footnote>
  <w:footnote w:type="continuationSeparator" w:id="0">
    <w:p w14:paraId="5CAB43C7" w14:textId="77777777" w:rsidR="003C114A" w:rsidRDefault="003C114A" w:rsidP="00E7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753747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3007DA" w14:textId="1A05F6B1" w:rsidR="00E71DFE" w:rsidRDefault="00E71DFE" w:rsidP="00630648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2FD13" w14:textId="77777777" w:rsidR="00E71DFE" w:rsidRDefault="00E71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4B6"/>
    <w:multiLevelType w:val="multilevel"/>
    <w:tmpl w:val="4410B062"/>
    <w:lvl w:ilvl="0">
      <w:start w:val="1"/>
      <w:numFmt w:val="lowerLetter"/>
      <w:lvlText w:val="%1."/>
      <w:lvlJc w:val="left"/>
      <w:pPr>
        <w:ind w:left="116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CB47FC6"/>
    <w:multiLevelType w:val="hybridMultilevel"/>
    <w:tmpl w:val="F39092C8"/>
    <w:lvl w:ilvl="0" w:tplc="27E6F202">
      <w:start w:val="1"/>
      <w:numFmt w:val="lowerLetter"/>
      <w:lvlText w:val="%1."/>
      <w:lvlJc w:val="left"/>
      <w:pPr>
        <w:ind w:left="475" w:hanging="360"/>
      </w:pPr>
      <w:rPr>
        <w:rFonts w:ascii="Arial" w:hAnsi="Arial" w:cs="Arial" w:hint="default"/>
        <w:b w:val="0"/>
        <w:i w:val="0"/>
        <w:spacing w:val="-2"/>
        <w:w w:val="99"/>
        <w:sz w:val="24"/>
        <w:szCs w:val="24"/>
        <w:lang w:val="en-US" w:eastAsia="en-US" w:bidi="en-US"/>
      </w:rPr>
    </w:lvl>
    <w:lvl w:ilvl="1" w:tplc="A0EC101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 w:tplc="BC64D818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 w:tplc="D316990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 w:tplc="6D3AD0B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 w:tplc="B1AA64D4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AEB61EE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 w:tplc="E1762B6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 w:tplc="145417A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1C85D86"/>
    <w:multiLevelType w:val="hybridMultilevel"/>
    <w:tmpl w:val="0FEC2810"/>
    <w:lvl w:ilvl="0" w:tplc="ABC2CE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i w:val="0"/>
        <w:spacing w:val="-14"/>
        <w:w w:val="100"/>
        <w:sz w:val="24"/>
        <w:szCs w:val="24"/>
        <w:lang w:val="en-US" w:eastAsia="en-US" w:bidi="en-US"/>
      </w:rPr>
    </w:lvl>
    <w:lvl w:ilvl="1" w:tplc="30128C32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2" w:tplc="05701D30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3" w:tplc="0EC4B4AE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en-US"/>
      </w:rPr>
    </w:lvl>
    <w:lvl w:ilvl="4" w:tplc="16181E3E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en-US"/>
      </w:rPr>
    </w:lvl>
    <w:lvl w:ilvl="5" w:tplc="82022A0A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3E1E7B84">
      <w:numFmt w:val="bullet"/>
      <w:lvlText w:val="•"/>
      <w:lvlJc w:val="left"/>
      <w:pPr>
        <w:ind w:left="7042" w:hanging="360"/>
      </w:pPr>
      <w:rPr>
        <w:rFonts w:hint="default"/>
        <w:lang w:val="en-US" w:eastAsia="en-US" w:bidi="en-US"/>
      </w:rPr>
    </w:lvl>
    <w:lvl w:ilvl="7" w:tplc="EA042F5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  <w:lvl w:ilvl="8" w:tplc="67B4F5B0">
      <w:numFmt w:val="bullet"/>
      <w:lvlText w:val="•"/>
      <w:lvlJc w:val="left"/>
      <w:pPr>
        <w:ind w:left="900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F8053C5"/>
    <w:multiLevelType w:val="multilevel"/>
    <w:tmpl w:val="D97628DE"/>
    <w:lvl w:ilvl="0">
      <w:start w:val="1"/>
      <w:numFmt w:val="lowerLetter"/>
      <w:lvlText w:val="%1."/>
      <w:lvlJc w:val="left"/>
      <w:pPr>
        <w:ind w:left="47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FD74D41"/>
    <w:multiLevelType w:val="multilevel"/>
    <w:tmpl w:val="64A21820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F5D5A71"/>
    <w:multiLevelType w:val="hybridMultilevel"/>
    <w:tmpl w:val="F34AF6AA"/>
    <w:lvl w:ilvl="0" w:tplc="13420E70">
      <w:start w:val="1"/>
      <w:numFmt w:val="upperLetter"/>
      <w:lvlText w:val="%1."/>
      <w:lvlJc w:val="left"/>
      <w:pPr>
        <w:ind w:left="475" w:hanging="360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en-US" w:eastAsia="en-US" w:bidi="en-US"/>
      </w:rPr>
    </w:lvl>
    <w:lvl w:ilvl="1" w:tplc="30128C32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2" w:tplc="05701D30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3" w:tplc="0EC4B4AE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en-US"/>
      </w:rPr>
    </w:lvl>
    <w:lvl w:ilvl="4" w:tplc="16181E3E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82022A0A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3E1E7B84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EA042F50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67B4F5B0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2"/>
    <w:rsid w:val="00011678"/>
    <w:rsid w:val="0004532D"/>
    <w:rsid w:val="0008182F"/>
    <w:rsid w:val="000A2907"/>
    <w:rsid w:val="000A541C"/>
    <w:rsid w:val="00121B62"/>
    <w:rsid w:val="00164B8F"/>
    <w:rsid w:val="001F2B68"/>
    <w:rsid w:val="001F78AB"/>
    <w:rsid w:val="0028613E"/>
    <w:rsid w:val="002C2F2C"/>
    <w:rsid w:val="003668BE"/>
    <w:rsid w:val="00373FEB"/>
    <w:rsid w:val="00397FFC"/>
    <w:rsid w:val="003C114A"/>
    <w:rsid w:val="003D6CD2"/>
    <w:rsid w:val="003D72BB"/>
    <w:rsid w:val="003E5329"/>
    <w:rsid w:val="004008B0"/>
    <w:rsid w:val="00496B58"/>
    <w:rsid w:val="004C7A86"/>
    <w:rsid w:val="004E6306"/>
    <w:rsid w:val="004F7875"/>
    <w:rsid w:val="005B1F39"/>
    <w:rsid w:val="005D013B"/>
    <w:rsid w:val="00612FFF"/>
    <w:rsid w:val="00665D0C"/>
    <w:rsid w:val="006F21D9"/>
    <w:rsid w:val="00712407"/>
    <w:rsid w:val="00716584"/>
    <w:rsid w:val="007A4EF9"/>
    <w:rsid w:val="007B441C"/>
    <w:rsid w:val="007F1AB4"/>
    <w:rsid w:val="00834E20"/>
    <w:rsid w:val="008B4A2B"/>
    <w:rsid w:val="008C1EBF"/>
    <w:rsid w:val="008E7D6B"/>
    <w:rsid w:val="008F18C4"/>
    <w:rsid w:val="00906D44"/>
    <w:rsid w:val="00976224"/>
    <w:rsid w:val="0098629F"/>
    <w:rsid w:val="00992D5B"/>
    <w:rsid w:val="009A370F"/>
    <w:rsid w:val="00A07EE8"/>
    <w:rsid w:val="00A14C43"/>
    <w:rsid w:val="00A72700"/>
    <w:rsid w:val="00A9182B"/>
    <w:rsid w:val="00A963F3"/>
    <w:rsid w:val="00AF57CA"/>
    <w:rsid w:val="00B37D93"/>
    <w:rsid w:val="00B46A19"/>
    <w:rsid w:val="00B968B1"/>
    <w:rsid w:val="00BB4102"/>
    <w:rsid w:val="00BB7BE9"/>
    <w:rsid w:val="00BD30E7"/>
    <w:rsid w:val="00C367E5"/>
    <w:rsid w:val="00C7696C"/>
    <w:rsid w:val="00C84B9E"/>
    <w:rsid w:val="00CD5D91"/>
    <w:rsid w:val="00D03042"/>
    <w:rsid w:val="00D2263E"/>
    <w:rsid w:val="00D93425"/>
    <w:rsid w:val="00DC025F"/>
    <w:rsid w:val="00E379E0"/>
    <w:rsid w:val="00E71DFE"/>
    <w:rsid w:val="00E843C7"/>
    <w:rsid w:val="00EE371C"/>
    <w:rsid w:val="00F9271E"/>
    <w:rsid w:val="00FC5107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9D95"/>
  <w15:docId w15:val="{D70FB689-8427-114F-A439-EB05AEF0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75" w:hanging="362"/>
      <w:outlineLvl w:val="0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7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61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13E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7E5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4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EF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EF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20"/>
    <w:rPr>
      <w:rFonts w:ascii="Times New Roman" w:eastAsia="Arial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71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DF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1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DFE"/>
    <w:rPr>
      <w:rFonts w:ascii="Arial" w:eastAsia="Arial" w:hAnsi="Arial" w:cs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7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b@bgsu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BGSU</dc:creator>
  <cp:lastModifiedBy>Kristin M Hagemyer</cp:lastModifiedBy>
  <cp:revision>2</cp:revision>
  <cp:lastPrinted>2021-05-19T17:36:00Z</cp:lastPrinted>
  <dcterms:created xsi:type="dcterms:W3CDTF">2021-06-30T19:35:00Z</dcterms:created>
  <dcterms:modified xsi:type="dcterms:W3CDTF">2021-06-30T19:35:00Z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2021-01-24T00:00:00Z</vt:filetime>
  </property>
</Properties>
</file>