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907F" w14:textId="4A683991" w:rsidR="00386C82" w:rsidRDefault="00386C82" w:rsidP="00452A40">
      <w:pPr>
        <w:pStyle w:val="Heading1"/>
      </w:pPr>
      <w:r w:rsidRPr="003B68C1">
        <w:t>Policy Development Checklist</w:t>
      </w:r>
    </w:p>
    <w:tbl>
      <w:tblPr>
        <w:tblStyle w:val="TableGrid"/>
        <w:tblW w:w="9582" w:type="dxa"/>
        <w:tblLook w:val="04A0" w:firstRow="1" w:lastRow="0" w:firstColumn="1" w:lastColumn="0" w:noHBand="0" w:noVBand="1"/>
      </w:tblPr>
      <w:tblGrid>
        <w:gridCol w:w="1404"/>
        <w:gridCol w:w="8178"/>
      </w:tblGrid>
      <w:tr w:rsidR="00386C82" w14:paraId="3D72F7CB" w14:textId="77777777" w:rsidTr="00E52E8C">
        <w:trPr>
          <w:trHeight w:val="797"/>
        </w:trPr>
        <w:tc>
          <w:tcPr>
            <w:tcW w:w="1404" w:type="dxa"/>
          </w:tcPr>
          <w:p w14:paraId="06968597" w14:textId="627838AD" w:rsidR="00386C82" w:rsidRDefault="00E47761" w:rsidP="00386C82">
            <w:r>
              <w:t xml:space="preserve">Indicate completion with </w:t>
            </w:r>
            <w:r>
              <w:sym w:font="Wingdings" w:char="F0FC"/>
            </w:r>
          </w:p>
        </w:tc>
        <w:tc>
          <w:tcPr>
            <w:tcW w:w="8178" w:type="dxa"/>
          </w:tcPr>
          <w:p w14:paraId="578FA9D3" w14:textId="0B9A5ECF" w:rsidR="00386C82" w:rsidRPr="00386C82" w:rsidRDefault="00F7187F" w:rsidP="00386C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Policy Administrator</w:t>
            </w:r>
            <w:r w:rsidR="004966BD">
              <w:rPr>
                <w:b/>
                <w:bCs/>
              </w:rPr>
              <w:t xml:space="preserve"> must complete</w:t>
            </w:r>
            <w:r w:rsidR="00B7615E">
              <w:rPr>
                <w:b/>
                <w:bCs/>
              </w:rPr>
              <w:t xml:space="preserve"> the</w:t>
            </w:r>
            <w:r w:rsidR="00386C82" w:rsidRPr="00386C82">
              <w:rPr>
                <w:b/>
                <w:bCs/>
              </w:rPr>
              <w:t xml:space="preserve"> following steps </w:t>
            </w:r>
            <w:r w:rsidR="004966BD">
              <w:rPr>
                <w:b/>
                <w:bCs/>
              </w:rPr>
              <w:t>to secure all required approvals for new and revised University Policies</w:t>
            </w:r>
          </w:p>
        </w:tc>
      </w:tr>
      <w:tr w:rsidR="00386C82" w14:paraId="30568456" w14:textId="77777777" w:rsidTr="00E52E8C">
        <w:trPr>
          <w:trHeight w:val="532"/>
        </w:trPr>
        <w:tc>
          <w:tcPr>
            <w:tcW w:w="1404" w:type="dxa"/>
          </w:tcPr>
          <w:p w14:paraId="6942EB14" w14:textId="77777777" w:rsidR="00386C82" w:rsidRDefault="00386C82" w:rsidP="00386C82"/>
        </w:tc>
        <w:tc>
          <w:tcPr>
            <w:tcW w:w="8178" w:type="dxa"/>
          </w:tcPr>
          <w:p w14:paraId="47415494" w14:textId="4A7DEFC3" w:rsidR="00386C82" w:rsidRDefault="00B63E34" w:rsidP="00386C82">
            <w:r>
              <w:t>Review</w:t>
            </w:r>
            <w:r w:rsidR="00386C82" w:rsidRPr="00386C82">
              <w:t xml:space="preserve"> Section (D) of the </w:t>
            </w:r>
            <w:proofErr w:type="gramStart"/>
            <w:r w:rsidR="00386C82" w:rsidRPr="00386C82">
              <w:t>Policy o</w:t>
            </w:r>
            <w:r>
              <w:t>n Policy</w:t>
            </w:r>
            <w:proofErr w:type="gramEnd"/>
            <w:r>
              <w:t xml:space="preserve"> Development (3341-1-5)</w:t>
            </w:r>
          </w:p>
        </w:tc>
      </w:tr>
      <w:tr w:rsidR="00386C82" w14:paraId="79C5A9F5" w14:textId="77777777" w:rsidTr="00E52E8C">
        <w:trPr>
          <w:trHeight w:val="1023"/>
        </w:trPr>
        <w:tc>
          <w:tcPr>
            <w:tcW w:w="1404" w:type="dxa"/>
          </w:tcPr>
          <w:p w14:paraId="021FB787" w14:textId="77777777" w:rsidR="00386C82" w:rsidRDefault="00386C82" w:rsidP="00386C82"/>
        </w:tc>
        <w:tc>
          <w:tcPr>
            <w:tcW w:w="8178" w:type="dxa"/>
          </w:tcPr>
          <w:p w14:paraId="1CEEFDBC" w14:textId="5FEC34DB" w:rsidR="00386C82" w:rsidRDefault="00B63E34" w:rsidP="00386C82">
            <w:r>
              <w:t>For revision to an existing policy, request</w:t>
            </w:r>
            <w:r w:rsidR="00386C82" w:rsidRPr="00386C82">
              <w:t xml:space="preserve"> the </w:t>
            </w:r>
            <w:r w:rsidR="00E47761">
              <w:t>official W</w:t>
            </w:r>
            <w:r w:rsidR="00386C82" w:rsidRPr="00386C82">
              <w:t xml:space="preserve">ord version of the </w:t>
            </w:r>
            <w:r w:rsidR="00E47761">
              <w:t>University policy</w:t>
            </w:r>
            <w:r w:rsidR="00386C82" w:rsidRPr="00386C82">
              <w:t xml:space="preserve"> from the Office of General Counsel </w:t>
            </w:r>
            <w:r w:rsidR="004966BD">
              <w:t xml:space="preserve">(Policy Coordinator – </w:t>
            </w:r>
            <w:hyperlink r:id="rId6" w:history="1">
              <w:r w:rsidR="004966BD" w:rsidRPr="00623DE3">
                <w:rPr>
                  <w:rStyle w:val="Hyperlink"/>
                </w:rPr>
                <w:t>afelty@bgsu.edu</w:t>
              </w:r>
            </w:hyperlink>
            <w:r w:rsidR="004966BD">
              <w:t xml:space="preserve">) </w:t>
            </w:r>
            <w:r w:rsidR="00386C82" w:rsidRPr="00386C82">
              <w:t>to ensure that the accessibility of the document is maintained.</w:t>
            </w:r>
          </w:p>
          <w:p w14:paraId="79AFD5E1" w14:textId="77777777" w:rsidR="00E47761" w:rsidRDefault="00E47761" w:rsidP="00386C82"/>
          <w:p w14:paraId="15D0792E" w14:textId="31093C43" w:rsidR="00E47761" w:rsidRDefault="00E47761" w:rsidP="00386C82">
            <w:r>
              <w:t xml:space="preserve">For a new policy, request the official Word version of the University policy template from the </w:t>
            </w:r>
            <w:r w:rsidRPr="00386C82">
              <w:t xml:space="preserve">Office of General Counsel </w:t>
            </w:r>
            <w:r>
              <w:t xml:space="preserve">(Policy Coordinator – </w:t>
            </w:r>
            <w:hyperlink r:id="rId7" w:history="1">
              <w:r w:rsidRPr="00623DE3">
                <w:rPr>
                  <w:rStyle w:val="Hyperlink"/>
                </w:rPr>
                <w:t>afelty@bgsu.edu</w:t>
              </w:r>
            </w:hyperlink>
            <w:r>
              <w:t>) to ensure consistent formatting.</w:t>
            </w:r>
          </w:p>
        </w:tc>
      </w:tr>
      <w:tr w:rsidR="00386C82" w14:paraId="5CD2A7B4" w14:textId="77777777" w:rsidTr="00E52E8C">
        <w:trPr>
          <w:trHeight w:val="722"/>
        </w:trPr>
        <w:tc>
          <w:tcPr>
            <w:tcW w:w="1404" w:type="dxa"/>
          </w:tcPr>
          <w:p w14:paraId="2F162174" w14:textId="77777777" w:rsidR="00386C82" w:rsidRDefault="00386C82" w:rsidP="00386C82"/>
        </w:tc>
        <w:tc>
          <w:tcPr>
            <w:tcW w:w="8178" w:type="dxa"/>
          </w:tcPr>
          <w:p w14:paraId="7F0E25F2" w14:textId="22A69556" w:rsidR="00386C82" w:rsidRDefault="00B63E34" w:rsidP="00386C82">
            <w:r>
              <w:t>For revision to an existing policy, use</w:t>
            </w:r>
            <w:r w:rsidR="00386C82" w:rsidRPr="00386C82">
              <w:t xml:space="preserve"> “track changes” in the </w:t>
            </w:r>
            <w:r w:rsidR="00E47761">
              <w:t xml:space="preserve">official </w:t>
            </w:r>
            <w:r w:rsidR="00386C82" w:rsidRPr="00386C82">
              <w:t>Word</w:t>
            </w:r>
            <w:r>
              <w:t xml:space="preserve"> </w:t>
            </w:r>
            <w:r w:rsidR="00E47761">
              <w:t xml:space="preserve">version </w:t>
            </w:r>
            <w:r>
              <w:t>to show the revisions</w:t>
            </w:r>
            <w:r w:rsidR="004966BD">
              <w:t>.</w:t>
            </w:r>
          </w:p>
        </w:tc>
      </w:tr>
      <w:tr w:rsidR="00746EBF" w14:paraId="135870DB" w14:textId="77777777" w:rsidTr="00E52E8C">
        <w:trPr>
          <w:trHeight w:val="722"/>
        </w:trPr>
        <w:tc>
          <w:tcPr>
            <w:tcW w:w="1404" w:type="dxa"/>
          </w:tcPr>
          <w:p w14:paraId="0B47B4E6" w14:textId="77777777" w:rsidR="00746EBF" w:rsidRDefault="00746EBF" w:rsidP="00386C82"/>
        </w:tc>
        <w:tc>
          <w:tcPr>
            <w:tcW w:w="8178" w:type="dxa"/>
          </w:tcPr>
          <w:p w14:paraId="58F392ED" w14:textId="148DC23F" w:rsidR="00746EBF" w:rsidRDefault="00746EBF" w:rsidP="00386C82">
            <w:r w:rsidRPr="00746EBF">
              <w:t>When drafting or revising policies, consult with campus partners</w:t>
            </w:r>
            <w:r w:rsidR="004A3686">
              <w:t xml:space="preserve"> and administrators</w:t>
            </w:r>
            <w:r w:rsidRPr="00746EBF">
              <w:t xml:space="preserve"> who are responsible for implementation and </w:t>
            </w:r>
            <w:r w:rsidR="004A3686">
              <w:t>compliance</w:t>
            </w:r>
            <w:r w:rsidRPr="00746EBF">
              <w:t>, as well as those with relevant expertise or who may be significantly impacted by the policy or proposed changes.</w:t>
            </w:r>
          </w:p>
        </w:tc>
      </w:tr>
      <w:tr w:rsidR="00E52E8C" w14:paraId="7641D288" w14:textId="77777777" w:rsidTr="00E52E8C">
        <w:trPr>
          <w:trHeight w:val="722"/>
        </w:trPr>
        <w:tc>
          <w:tcPr>
            <w:tcW w:w="1404" w:type="dxa"/>
          </w:tcPr>
          <w:p w14:paraId="334EA3E6" w14:textId="77777777" w:rsidR="00E52E8C" w:rsidRDefault="00E52E8C" w:rsidP="00386C82"/>
        </w:tc>
        <w:tc>
          <w:tcPr>
            <w:tcW w:w="8178" w:type="dxa"/>
          </w:tcPr>
          <w:p w14:paraId="29C44A05" w14:textId="68AA8366" w:rsidR="00E52E8C" w:rsidRDefault="00E52E8C" w:rsidP="00386C82">
            <w:r>
              <w:t xml:space="preserve">Submit </w:t>
            </w:r>
            <w:r w:rsidR="009369A2">
              <w:t>the tracked changes/</w:t>
            </w:r>
            <w:r>
              <w:t>redlined</w:t>
            </w:r>
            <w:r w:rsidR="009369A2">
              <w:t xml:space="preserve"> version of the</w:t>
            </w:r>
            <w:r>
              <w:t xml:space="preserve"> policy to </w:t>
            </w:r>
            <w:r w:rsidR="00452A40">
              <w:t>the</w:t>
            </w:r>
            <w:r w:rsidR="00F87AB1">
              <w:t xml:space="preserve"> Office of General Counsel for review (starting with the attorney most</w:t>
            </w:r>
            <w:r w:rsidR="00452A40">
              <w:t xml:space="preserve"> </w:t>
            </w:r>
            <w:r w:rsidR="00EF72E1">
              <w:t>relevant to</w:t>
            </w:r>
            <w:r w:rsidR="00F87AB1">
              <w:t xml:space="preserve"> the </w:t>
            </w:r>
            <w:r w:rsidR="00452A40">
              <w:t xml:space="preserve">policy </w:t>
            </w:r>
            <w:r w:rsidR="00F87AB1">
              <w:t>topic</w:t>
            </w:r>
            <w:r>
              <w:t>.</w:t>
            </w:r>
            <w:r w:rsidR="0004660C">
              <w:t>)</w:t>
            </w:r>
          </w:p>
          <w:p w14:paraId="6AF28E16" w14:textId="61F87CF0" w:rsidR="00F87AB1" w:rsidRDefault="00F87AB1" w:rsidP="00386C82"/>
        </w:tc>
      </w:tr>
      <w:tr w:rsidR="00386C82" w14:paraId="252820E5" w14:textId="77777777" w:rsidTr="00E52E8C">
        <w:trPr>
          <w:trHeight w:val="1702"/>
        </w:trPr>
        <w:tc>
          <w:tcPr>
            <w:tcW w:w="1404" w:type="dxa"/>
          </w:tcPr>
          <w:p w14:paraId="187888B9" w14:textId="77777777" w:rsidR="00386C82" w:rsidRDefault="00386C82" w:rsidP="00386C82"/>
        </w:tc>
        <w:tc>
          <w:tcPr>
            <w:tcW w:w="8178" w:type="dxa"/>
          </w:tcPr>
          <w:p w14:paraId="3CE5A12E" w14:textId="1B25BA46" w:rsidR="004966BD" w:rsidRDefault="00B63E34" w:rsidP="004966BD">
            <w:r>
              <w:t>C</w:t>
            </w:r>
            <w:r w:rsidR="004966BD">
              <w:t>onsult</w:t>
            </w:r>
            <w:r w:rsidR="00386C82" w:rsidRPr="00386C82">
              <w:t xml:space="preserve"> with affected university s</w:t>
            </w:r>
            <w:r>
              <w:t>takeholders and constituencies</w:t>
            </w:r>
            <w:r w:rsidR="00E47761">
              <w:t xml:space="preserve"> al</w:t>
            </w:r>
            <w:r w:rsidR="00E47761" w:rsidRPr="00386C82">
              <w:t>lot</w:t>
            </w:r>
            <w:r w:rsidR="00E47761">
              <w:t>ting</w:t>
            </w:r>
            <w:r w:rsidR="00E47761" w:rsidRPr="00386C82">
              <w:t xml:space="preserve"> 7-10 business days for constituent feedback.</w:t>
            </w:r>
            <w:r w:rsidR="00E47761">
              <w:t xml:space="preserve"> </w:t>
            </w:r>
            <w:r w:rsidR="004966BD">
              <w:t xml:space="preserve">Examples include: </w:t>
            </w:r>
          </w:p>
          <w:p w14:paraId="5CD3B08D" w14:textId="6C22C820" w:rsidR="004966BD" w:rsidRDefault="004966BD" w:rsidP="004966BD">
            <w:pPr>
              <w:pStyle w:val="ListParagraph"/>
              <w:numPr>
                <w:ilvl w:val="0"/>
                <w:numId w:val="2"/>
              </w:numPr>
            </w:pPr>
            <w:r>
              <w:t>Faculty Senate</w:t>
            </w:r>
            <w:r w:rsidR="00EA39C5">
              <w:t xml:space="preserve"> </w:t>
            </w:r>
          </w:p>
          <w:p w14:paraId="6ED7070E" w14:textId="14996C12" w:rsidR="00B63E34" w:rsidRDefault="00B63E34" w:rsidP="004966BD">
            <w:pPr>
              <w:pStyle w:val="ListParagraph"/>
              <w:numPr>
                <w:ilvl w:val="0"/>
                <w:numId w:val="2"/>
              </w:numPr>
            </w:pPr>
            <w:r>
              <w:t>Faculty Association</w:t>
            </w:r>
          </w:p>
          <w:p w14:paraId="40900A30" w14:textId="77777777" w:rsidR="00B63E34" w:rsidRDefault="00B63E34" w:rsidP="00F7187F">
            <w:pPr>
              <w:pStyle w:val="ListParagraph"/>
              <w:numPr>
                <w:ilvl w:val="0"/>
                <w:numId w:val="2"/>
              </w:numPr>
            </w:pPr>
            <w:r>
              <w:t>Undergraduate Student Senate</w:t>
            </w:r>
          </w:p>
          <w:p w14:paraId="5E0F020F" w14:textId="77777777" w:rsidR="00B63E34" w:rsidRDefault="00B63E34" w:rsidP="00F7187F">
            <w:pPr>
              <w:pStyle w:val="ListParagraph"/>
              <w:numPr>
                <w:ilvl w:val="0"/>
                <w:numId w:val="2"/>
              </w:numPr>
            </w:pPr>
            <w:r>
              <w:t>Graduate Student Association</w:t>
            </w:r>
          </w:p>
          <w:p w14:paraId="165DC879" w14:textId="77777777" w:rsidR="00B63E34" w:rsidRDefault="00386C82" w:rsidP="00F7187F">
            <w:pPr>
              <w:pStyle w:val="ListParagraph"/>
              <w:numPr>
                <w:ilvl w:val="0"/>
                <w:numId w:val="2"/>
              </w:numPr>
            </w:pPr>
            <w:r w:rsidRPr="00386C82">
              <w:t>Administrative Staff Co</w:t>
            </w:r>
            <w:r w:rsidR="00B63E34">
              <w:t>uncil</w:t>
            </w:r>
          </w:p>
          <w:p w14:paraId="117D2BDB" w14:textId="25B896A7" w:rsidR="00B63E34" w:rsidRDefault="00F7187F" w:rsidP="00F7187F">
            <w:pPr>
              <w:pStyle w:val="ListParagraph"/>
              <w:numPr>
                <w:ilvl w:val="0"/>
                <w:numId w:val="2"/>
              </w:numPr>
            </w:pPr>
            <w:r>
              <w:t>Classified Staff Council</w:t>
            </w:r>
            <w:r w:rsidR="00386C82" w:rsidRPr="00386C82">
              <w:t xml:space="preserve"> </w:t>
            </w:r>
          </w:p>
          <w:p w14:paraId="35783E5D" w14:textId="7F969A1E" w:rsidR="004966BD" w:rsidRDefault="004966BD" w:rsidP="00F7187F">
            <w:pPr>
              <w:pStyle w:val="ListParagraph"/>
              <w:numPr>
                <w:ilvl w:val="0"/>
                <w:numId w:val="2"/>
              </w:numPr>
            </w:pPr>
            <w:r>
              <w:t>Other__________________</w:t>
            </w:r>
          </w:p>
          <w:p w14:paraId="4FA3742C" w14:textId="0FDA96EA" w:rsidR="004966BD" w:rsidRDefault="004966BD" w:rsidP="00F7187F">
            <w:pPr>
              <w:pStyle w:val="ListParagraph"/>
              <w:numPr>
                <w:ilvl w:val="0"/>
                <w:numId w:val="2"/>
              </w:numPr>
            </w:pPr>
            <w:r>
              <w:t>Other__________________</w:t>
            </w:r>
          </w:p>
          <w:p w14:paraId="6321DCFF" w14:textId="3DC856FE" w:rsidR="004966BD" w:rsidRDefault="004966BD" w:rsidP="004966BD">
            <w:r>
              <w:t>Questions about which constituent group</w:t>
            </w:r>
            <w:r w:rsidR="00C317D4">
              <w:t>(</w:t>
            </w:r>
            <w:r>
              <w:t>s</w:t>
            </w:r>
            <w:r w:rsidR="00C317D4">
              <w:t>)</w:t>
            </w:r>
            <w:r>
              <w:t xml:space="preserve"> need</w:t>
            </w:r>
            <w:r w:rsidR="00C317D4">
              <w:t xml:space="preserve"> </w:t>
            </w:r>
            <w:r>
              <w:t>to be consulted can be posed to Office of General Counsel.</w:t>
            </w:r>
          </w:p>
        </w:tc>
      </w:tr>
      <w:tr w:rsidR="00386C82" w14:paraId="60A2BC87" w14:textId="77777777" w:rsidTr="00E52E8C">
        <w:trPr>
          <w:trHeight w:val="523"/>
        </w:trPr>
        <w:tc>
          <w:tcPr>
            <w:tcW w:w="1404" w:type="dxa"/>
          </w:tcPr>
          <w:p w14:paraId="0F82A725" w14:textId="77777777" w:rsidR="00386C82" w:rsidRDefault="00386C82" w:rsidP="00386C82"/>
        </w:tc>
        <w:tc>
          <w:tcPr>
            <w:tcW w:w="8178" w:type="dxa"/>
          </w:tcPr>
          <w:p w14:paraId="2252E187" w14:textId="7751D31E" w:rsidR="00386C82" w:rsidRDefault="009369A2" w:rsidP="0008386F">
            <w:r>
              <w:t>After incorporating constituent feedback, s</w:t>
            </w:r>
            <w:r w:rsidR="004966BD">
              <w:t>ubmit</w:t>
            </w:r>
            <w:r w:rsidR="00386C82" w:rsidRPr="00386C82">
              <w:t xml:space="preserve"> the draft policy</w:t>
            </w:r>
            <w:r w:rsidR="00923952">
              <w:t>, with tracked changes,</w:t>
            </w:r>
            <w:r w:rsidR="00386C82" w:rsidRPr="00386C82">
              <w:t xml:space="preserve"> to the Offic</w:t>
            </w:r>
            <w:r w:rsidR="00B63E34">
              <w:t>e of General Counsel</w:t>
            </w:r>
            <w:r w:rsidR="00452A40">
              <w:t xml:space="preserve"> (</w:t>
            </w:r>
            <w:hyperlink r:id="rId8" w:history="1">
              <w:r w:rsidR="00EF72E1" w:rsidRPr="00BA04D2">
                <w:rPr>
                  <w:rStyle w:val="Hyperlink"/>
                </w:rPr>
                <w:t>stokesm@bgsu.edu</w:t>
              </w:r>
            </w:hyperlink>
            <w:r w:rsidR="00EF72E1">
              <w:t xml:space="preserve">, cc </w:t>
            </w:r>
            <w:hyperlink r:id="rId9" w:history="1">
              <w:r w:rsidR="00EF72E1" w:rsidRPr="00BA04D2">
                <w:rPr>
                  <w:rStyle w:val="Hyperlink"/>
                </w:rPr>
                <w:t>afelty@bgsu.edu</w:t>
              </w:r>
            </w:hyperlink>
            <w:r w:rsidR="00452A40">
              <w:t>)</w:t>
            </w:r>
            <w:r w:rsidR="00B63E34">
              <w:t xml:space="preserve"> for </w:t>
            </w:r>
            <w:r>
              <w:t xml:space="preserve">final </w:t>
            </w:r>
            <w:r w:rsidR="00B63E34">
              <w:t>review</w:t>
            </w:r>
            <w:r>
              <w:t xml:space="preserve"> and inclusion on the agenda for the Policy Review Council</w:t>
            </w:r>
            <w:r w:rsidR="00B63E34">
              <w:t>.</w:t>
            </w:r>
            <w:r w:rsidR="0008386F">
              <w:t xml:space="preserve"> </w:t>
            </w:r>
            <w:r w:rsidR="0008386F" w:rsidRPr="00386C82">
              <w:t xml:space="preserve">Please </w:t>
            </w:r>
            <w:r w:rsidR="0008386F">
              <w:t xml:space="preserve">allot </w:t>
            </w:r>
            <w:r w:rsidR="004A3686">
              <w:t>five</w:t>
            </w:r>
            <w:r w:rsidR="0008386F">
              <w:t xml:space="preserve"> (</w:t>
            </w:r>
            <w:r w:rsidR="004A3686">
              <w:t>5</w:t>
            </w:r>
            <w:r w:rsidR="0008386F">
              <w:t>)</w:t>
            </w:r>
            <w:r w:rsidR="0008386F" w:rsidRPr="00386C82">
              <w:t xml:space="preserve"> business days in advance </w:t>
            </w:r>
            <w:r w:rsidR="0008386F">
              <w:t xml:space="preserve">of the Policy Review Council’s next meeting. </w:t>
            </w:r>
          </w:p>
        </w:tc>
      </w:tr>
      <w:tr w:rsidR="00386C82" w14:paraId="02913B4D" w14:textId="77777777" w:rsidTr="00E52E8C">
        <w:trPr>
          <w:trHeight w:val="1348"/>
        </w:trPr>
        <w:tc>
          <w:tcPr>
            <w:tcW w:w="1404" w:type="dxa"/>
          </w:tcPr>
          <w:p w14:paraId="03E3D20C" w14:textId="77777777" w:rsidR="00386C82" w:rsidRDefault="00386C82" w:rsidP="00386C82"/>
        </w:tc>
        <w:tc>
          <w:tcPr>
            <w:tcW w:w="8178" w:type="dxa"/>
          </w:tcPr>
          <w:p w14:paraId="55FDBEE5" w14:textId="14D49AB8" w:rsidR="00452A40" w:rsidRDefault="00452A40" w:rsidP="0008386F">
            <w:r>
              <w:t xml:space="preserve">The Policy Administrator, or delegee, will attend the Policy Review </w:t>
            </w:r>
            <w:r w:rsidR="009369A2">
              <w:t xml:space="preserve">Council </w:t>
            </w:r>
            <w:r>
              <w:t>meeting and</w:t>
            </w:r>
            <w:r w:rsidR="009369A2">
              <w:t xml:space="preserve"> subsequently </w:t>
            </w:r>
            <w:r>
              <w:t xml:space="preserve">address any </w:t>
            </w:r>
            <w:r w:rsidR="009369A2">
              <w:t xml:space="preserve">feedback </w:t>
            </w:r>
            <w:r w:rsidRPr="00386C82">
              <w:t xml:space="preserve">from </w:t>
            </w:r>
            <w:r>
              <w:t xml:space="preserve">the Policy Review Council. </w:t>
            </w:r>
            <w:r w:rsidR="009369A2">
              <w:t>Following integration of the Policy Review Council’s feedback, t</w:t>
            </w:r>
            <w:r>
              <w:t>he Office of General Counsel will garner Presidential approval.</w:t>
            </w:r>
          </w:p>
        </w:tc>
      </w:tr>
    </w:tbl>
    <w:p w14:paraId="60F18C44" w14:textId="77777777" w:rsidR="00386C82" w:rsidRDefault="00386C82" w:rsidP="00E52E8C"/>
    <w:sectPr w:rsidR="00386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B50E3"/>
    <w:multiLevelType w:val="hybridMultilevel"/>
    <w:tmpl w:val="D70EDB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F2525"/>
    <w:multiLevelType w:val="hybridMultilevel"/>
    <w:tmpl w:val="4552BC74"/>
    <w:lvl w:ilvl="0" w:tplc="4512529C">
      <w:start w:val="1"/>
      <w:numFmt w:val="decimal"/>
      <w:lvlText w:val="%1."/>
      <w:lvlJc w:val="left"/>
      <w:pPr>
        <w:ind w:left="1020" w:hanging="360"/>
      </w:pPr>
    </w:lvl>
    <w:lvl w:ilvl="1" w:tplc="90C0C0C0">
      <w:start w:val="1"/>
      <w:numFmt w:val="decimal"/>
      <w:lvlText w:val="%2."/>
      <w:lvlJc w:val="left"/>
      <w:pPr>
        <w:ind w:left="1020" w:hanging="360"/>
      </w:pPr>
    </w:lvl>
    <w:lvl w:ilvl="2" w:tplc="26F0227C">
      <w:start w:val="1"/>
      <w:numFmt w:val="decimal"/>
      <w:lvlText w:val="%3."/>
      <w:lvlJc w:val="left"/>
      <w:pPr>
        <w:ind w:left="1020" w:hanging="360"/>
      </w:pPr>
    </w:lvl>
    <w:lvl w:ilvl="3" w:tplc="72E2B1A6">
      <w:start w:val="1"/>
      <w:numFmt w:val="decimal"/>
      <w:lvlText w:val="%4."/>
      <w:lvlJc w:val="left"/>
      <w:pPr>
        <w:ind w:left="1020" w:hanging="360"/>
      </w:pPr>
    </w:lvl>
    <w:lvl w:ilvl="4" w:tplc="B41E652E">
      <w:start w:val="1"/>
      <w:numFmt w:val="decimal"/>
      <w:lvlText w:val="%5."/>
      <w:lvlJc w:val="left"/>
      <w:pPr>
        <w:ind w:left="1020" w:hanging="360"/>
      </w:pPr>
    </w:lvl>
    <w:lvl w:ilvl="5" w:tplc="FD044E32">
      <w:start w:val="1"/>
      <w:numFmt w:val="decimal"/>
      <w:lvlText w:val="%6."/>
      <w:lvlJc w:val="left"/>
      <w:pPr>
        <w:ind w:left="1020" w:hanging="360"/>
      </w:pPr>
    </w:lvl>
    <w:lvl w:ilvl="6" w:tplc="3E48DAE6">
      <w:start w:val="1"/>
      <w:numFmt w:val="decimal"/>
      <w:lvlText w:val="%7."/>
      <w:lvlJc w:val="left"/>
      <w:pPr>
        <w:ind w:left="1020" w:hanging="360"/>
      </w:pPr>
    </w:lvl>
    <w:lvl w:ilvl="7" w:tplc="552E2E82">
      <w:start w:val="1"/>
      <w:numFmt w:val="decimal"/>
      <w:lvlText w:val="%8."/>
      <w:lvlJc w:val="left"/>
      <w:pPr>
        <w:ind w:left="1020" w:hanging="360"/>
      </w:pPr>
    </w:lvl>
    <w:lvl w:ilvl="8" w:tplc="93721CE6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72EE7646"/>
    <w:multiLevelType w:val="hybridMultilevel"/>
    <w:tmpl w:val="A0C8A83A"/>
    <w:lvl w:ilvl="0" w:tplc="EB00232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612990">
    <w:abstractNumId w:val="0"/>
  </w:num>
  <w:num w:numId="2" w16cid:durableId="1489443956">
    <w:abstractNumId w:val="2"/>
  </w:num>
  <w:num w:numId="3" w16cid:durableId="256986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82"/>
    <w:rsid w:val="0004660C"/>
    <w:rsid w:val="000821FC"/>
    <w:rsid w:val="0008386F"/>
    <w:rsid w:val="000C20A9"/>
    <w:rsid w:val="00386C82"/>
    <w:rsid w:val="003B68C1"/>
    <w:rsid w:val="00452A40"/>
    <w:rsid w:val="004966BD"/>
    <w:rsid w:val="004A3686"/>
    <w:rsid w:val="00746AFA"/>
    <w:rsid w:val="00746EBF"/>
    <w:rsid w:val="00823992"/>
    <w:rsid w:val="008406D3"/>
    <w:rsid w:val="008D33E8"/>
    <w:rsid w:val="00911F0D"/>
    <w:rsid w:val="00923952"/>
    <w:rsid w:val="009369A2"/>
    <w:rsid w:val="009C3CD9"/>
    <w:rsid w:val="00B63E34"/>
    <w:rsid w:val="00B65EFF"/>
    <w:rsid w:val="00B7615E"/>
    <w:rsid w:val="00BA71BF"/>
    <w:rsid w:val="00C317D4"/>
    <w:rsid w:val="00DA2E91"/>
    <w:rsid w:val="00E47761"/>
    <w:rsid w:val="00E52E8C"/>
    <w:rsid w:val="00E574C8"/>
    <w:rsid w:val="00EA39C5"/>
    <w:rsid w:val="00EE31CB"/>
    <w:rsid w:val="00EF72E1"/>
    <w:rsid w:val="00F7187F"/>
    <w:rsid w:val="00F8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DAA75"/>
  <w15:chartTrackingRefBased/>
  <w15:docId w15:val="{FDE531FA-3C0F-4328-900D-54F20D81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8C1"/>
    <w:pPr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3E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66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6B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15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B68C1"/>
    <w:rPr>
      <w:b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369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69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69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9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7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2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kesm@bgsu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afelty@bgs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felty@bgsu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felty@bg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B625F-070F-4A59-AE3A-F5B7D453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Development Checklist</vt:lpstr>
    </vt:vector>
  </TitlesOfParts>
  <Manager/>
  <Company>Bowling Green State University</Company>
  <LinksUpToDate>false</LinksUpToDate>
  <CharactersWithSpaces>2430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Development Checklist</dc:title>
  <dc:subject/>
  <dc:creator>Robb Nardecchia</dc:creator>
  <cp:keywords/>
  <dc:description/>
  <cp:lastModifiedBy>Allie Felty</cp:lastModifiedBy>
  <cp:revision>2</cp:revision>
  <cp:lastPrinted>2023-01-04T15:38:00Z</cp:lastPrinted>
  <dcterms:created xsi:type="dcterms:W3CDTF">2026-05-27T18:41:00Z</dcterms:created>
  <dcterms:modified xsi:type="dcterms:W3CDTF">2026-05-27T18:41:00Z</dcterms:modified>
  <cp:category/>
</cp:coreProperties>
</file>