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57A4A" w14:textId="722C3B7E" w:rsidR="00C55915" w:rsidRPr="009328F9" w:rsidRDefault="00C55915" w:rsidP="00C55915">
      <w:pPr>
        <w:jc w:val="center"/>
        <w:rPr>
          <w:b/>
          <w:bCs/>
        </w:rPr>
      </w:pPr>
      <w:r w:rsidRPr="009328F9">
        <w:rPr>
          <w:b/>
          <w:bCs/>
        </w:rPr>
        <w:t>WRIT 11</w:t>
      </w:r>
      <w:r w:rsidR="0021739C" w:rsidRPr="009328F9">
        <w:rPr>
          <w:b/>
          <w:bCs/>
        </w:rPr>
        <w:t>1</w:t>
      </w:r>
      <w:r w:rsidRPr="009328F9">
        <w:rPr>
          <w:b/>
          <w:bCs/>
        </w:rPr>
        <w:t xml:space="preserve">0 Learning Goals with BGP ECOC </w:t>
      </w:r>
      <w:r w:rsidR="009A2A9C" w:rsidRPr="009328F9">
        <w:rPr>
          <w:b/>
          <w:bCs/>
        </w:rPr>
        <w:t>Outcomes</w:t>
      </w:r>
    </w:p>
    <w:tbl>
      <w:tblPr>
        <w:tblpPr w:leftFromText="180" w:rightFromText="180" w:bottomFromText="200" w:vertAnchor="text" w:horzAnchor="page" w:tblpX="931" w:tblpY="214"/>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Caption w:val="WRIT 1120 Learning Goals Matched to BGP and OTM Outcomes"/>
        <w:tblDescription w:val="The first column features BGP ECOC outcomes. The second column features the Ohio Transfer Module learning outcomes. The third column features learning goals of WRIT 1120. Each row matches the WRIT 1120 Learning Goals to the BGP and Ohio Transfer Module outcomes."/>
      </w:tblPr>
      <w:tblGrid>
        <w:gridCol w:w="3775"/>
        <w:gridCol w:w="6750"/>
      </w:tblGrid>
      <w:tr w:rsidR="00442881" w:rsidRPr="009328F9" w14:paraId="57AAB450" w14:textId="77777777" w:rsidTr="00442881">
        <w:trPr>
          <w:trHeight w:val="327"/>
        </w:trPr>
        <w:tc>
          <w:tcPr>
            <w:tcW w:w="37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BFD1EC" w14:textId="77777777" w:rsidR="00442881" w:rsidRPr="009328F9" w:rsidRDefault="00442881" w:rsidP="00442881">
            <w:pPr>
              <w:rPr>
                <w:b/>
                <w:bCs/>
              </w:rPr>
            </w:pPr>
            <w:r w:rsidRPr="009328F9">
              <w:rPr>
                <w:b/>
                <w:bCs/>
              </w:rPr>
              <w:t>BGP Learning Outcomes:</w:t>
            </w:r>
          </w:p>
          <w:p w14:paraId="1FE55521" w14:textId="77777777" w:rsidR="00442881" w:rsidRPr="009328F9" w:rsidRDefault="00442881" w:rsidP="00442881">
            <w:pPr>
              <w:rPr>
                <w:b/>
                <w:bCs/>
              </w:rPr>
            </w:pPr>
            <w:r w:rsidRPr="009328F9">
              <w:rPr>
                <w:b/>
                <w:bCs/>
              </w:rPr>
              <w:t>English Composition &amp; Oral Communication (ECOC)</w:t>
            </w:r>
          </w:p>
        </w:tc>
        <w:tc>
          <w:tcPr>
            <w:tcW w:w="6750" w:type="dxa"/>
            <w:tcBorders>
              <w:top w:val="single" w:sz="4" w:space="0" w:color="auto"/>
              <w:left w:val="single" w:sz="4" w:space="0" w:color="auto"/>
              <w:bottom w:val="single" w:sz="4" w:space="0" w:color="auto"/>
              <w:right w:val="single" w:sz="4" w:space="0" w:color="auto"/>
            </w:tcBorders>
            <w:shd w:val="clear" w:color="auto" w:fill="E7E6E6" w:themeFill="background2"/>
          </w:tcPr>
          <w:p w14:paraId="3BFF9959" w14:textId="0173A436" w:rsidR="00442881" w:rsidRPr="009328F9" w:rsidRDefault="00442881" w:rsidP="00442881">
            <w:pPr>
              <w:rPr>
                <w:b/>
                <w:bCs/>
              </w:rPr>
            </w:pPr>
            <w:r w:rsidRPr="009328F9">
              <w:rPr>
                <w:b/>
                <w:bCs/>
              </w:rPr>
              <w:t>WRIT 11</w:t>
            </w:r>
            <w:r w:rsidR="0021739C" w:rsidRPr="009328F9">
              <w:rPr>
                <w:b/>
                <w:bCs/>
              </w:rPr>
              <w:t>1</w:t>
            </w:r>
            <w:r w:rsidRPr="009328F9">
              <w:rPr>
                <w:b/>
                <w:bCs/>
              </w:rPr>
              <w:t>0 Learning Goals</w:t>
            </w:r>
          </w:p>
        </w:tc>
      </w:tr>
      <w:tr w:rsidR="00442881" w:rsidRPr="009328F9" w14:paraId="7D4800C9" w14:textId="77777777" w:rsidTr="00442881">
        <w:trPr>
          <w:trHeight w:val="426"/>
        </w:trPr>
        <w:tc>
          <w:tcPr>
            <w:tcW w:w="3775" w:type="dxa"/>
            <w:tcBorders>
              <w:top w:val="single" w:sz="4" w:space="0" w:color="auto"/>
              <w:left w:val="single" w:sz="4" w:space="0" w:color="auto"/>
              <w:bottom w:val="single" w:sz="4" w:space="0" w:color="auto"/>
              <w:right w:val="single" w:sz="4" w:space="0" w:color="auto"/>
            </w:tcBorders>
            <w:hideMark/>
          </w:tcPr>
          <w:p w14:paraId="4AD437C1" w14:textId="77777777" w:rsidR="00442881" w:rsidRPr="009328F9" w:rsidRDefault="00442881" w:rsidP="00442881">
            <w:r w:rsidRPr="009328F9">
              <w:rPr>
                <w:rFonts w:eastAsia="Calibri"/>
                <w:b/>
                <w:bCs/>
              </w:rPr>
              <w:t xml:space="preserve">ECOC 1. </w:t>
            </w:r>
            <w:r w:rsidRPr="009328F9">
              <w:rPr>
                <w:shd w:val="clear" w:color="auto" w:fill="FFFFFF"/>
              </w:rPr>
              <w:t>Formulate effective written and/or oral arguments that are based upon appropriate, credible research.</w:t>
            </w:r>
          </w:p>
        </w:tc>
        <w:tc>
          <w:tcPr>
            <w:tcW w:w="6750" w:type="dxa"/>
            <w:tcBorders>
              <w:top w:val="single" w:sz="4" w:space="0" w:color="auto"/>
              <w:left w:val="single" w:sz="4" w:space="0" w:color="auto"/>
              <w:bottom w:val="single" w:sz="4" w:space="0" w:color="auto"/>
              <w:right w:val="single" w:sz="4" w:space="0" w:color="auto"/>
            </w:tcBorders>
            <w:hideMark/>
          </w:tcPr>
          <w:p w14:paraId="5DDA41FF" w14:textId="0CFAF84F" w:rsidR="00442881" w:rsidRPr="009328F9" w:rsidRDefault="00442881" w:rsidP="00442881">
            <w:pPr>
              <w:rPr>
                <w:shd w:val="clear" w:color="auto" w:fill="FFFFFF"/>
              </w:rPr>
            </w:pPr>
            <w:r w:rsidRPr="009328F9">
              <w:t xml:space="preserve">WRIT </w:t>
            </w:r>
            <w:r w:rsidR="00C342FB">
              <w:t>1110</w:t>
            </w:r>
            <w:r w:rsidRPr="009328F9">
              <w:t xml:space="preserve"> 2: </w:t>
            </w:r>
            <w:r w:rsidR="0021739C" w:rsidRPr="009328F9">
              <w:rPr>
                <w:shd w:val="clear" w:color="auto" w:fill="FFFFFF"/>
              </w:rPr>
              <w:t>Practice openness to new perspectives</w:t>
            </w:r>
            <w:r w:rsidRPr="009328F9">
              <w:rPr>
                <w:shd w:val="clear" w:color="auto" w:fill="FFFFFF"/>
              </w:rPr>
              <w:t>. </w:t>
            </w:r>
          </w:p>
          <w:p w14:paraId="7C94DEE0" w14:textId="19620CBD" w:rsidR="00CC687D" w:rsidRPr="009328F9" w:rsidRDefault="00442881" w:rsidP="00CC687D">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6: </w:t>
            </w:r>
            <w:r w:rsidR="00CC687D" w:rsidRPr="009328F9">
              <w:rPr>
                <w:shd w:val="clear" w:color="auto" w:fill="FFFFFF"/>
              </w:rPr>
              <w:t>Develop strategies for revising writing projects across drafts.</w:t>
            </w:r>
          </w:p>
          <w:p w14:paraId="0F079A18" w14:textId="561BFA38" w:rsidR="009927BD" w:rsidRPr="009328F9" w:rsidRDefault="00442881" w:rsidP="009927BD">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8</w:t>
            </w:r>
            <w:r w:rsidR="009927BD" w:rsidRPr="009328F9">
              <w:rPr>
                <w:shd w:val="clear" w:color="auto" w:fill="FFFFFF"/>
              </w:rPr>
              <w:t xml:space="preserve">: </w:t>
            </w:r>
            <w:r w:rsidR="009927BD" w:rsidRPr="009328F9">
              <w:rPr>
                <w:shd w:val="clear" w:color="auto" w:fill="FFFFFF"/>
              </w:rPr>
              <w:t>Communicate example-based reflections about one's writing to a range of audiences.</w:t>
            </w:r>
          </w:p>
          <w:p w14:paraId="7036B198" w14:textId="31AF5593" w:rsidR="00442881" w:rsidRPr="009328F9" w:rsidRDefault="00442881" w:rsidP="00442881"/>
        </w:tc>
      </w:tr>
      <w:tr w:rsidR="00442881" w:rsidRPr="009328F9" w14:paraId="74DABE49" w14:textId="77777777" w:rsidTr="00442881">
        <w:trPr>
          <w:trHeight w:val="844"/>
        </w:trPr>
        <w:tc>
          <w:tcPr>
            <w:tcW w:w="3775" w:type="dxa"/>
            <w:tcBorders>
              <w:top w:val="single" w:sz="4" w:space="0" w:color="auto"/>
              <w:left w:val="single" w:sz="4" w:space="0" w:color="auto"/>
              <w:bottom w:val="single" w:sz="4" w:space="0" w:color="auto"/>
              <w:right w:val="single" w:sz="4" w:space="0" w:color="auto"/>
            </w:tcBorders>
            <w:hideMark/>
          </w:tcPr>
          <w:p w14:paraId="4E5326DD" w14:textId="77777777" w:rsidR="00442881" w:rsidRPr="009328F9" w:rsidRDefault="00442881" w:rsidP="00442881">
            <w:r w:rsidRPr="009328F9">
              <w:rPr>
                <w:rFonts w:eastAsia="Calibri"/>
                <w:b/>
                <w:bCs/>
              </w:rPr>
              <w:t xml:space="preserve">ECOC 2. </w:t>
            </w:r>
            <w:r w:rsidRPr="009328F9">
              <w:rPr>
                <w:shd w:val="clear" w:color="auto" w:fill="FFFFFF"/>
              </w:rPr>
              <w:t>Construct materials that respond effectively to the needs of a variety of audiences, with an emphasis upon academic audiences.</w:t>
            </w:r>
          </w:p>
        </w:tc>
        <w:tc>
          <w:tcPr>
            <w:tcW w:w="6750" w:type="dxa"/>
            <w:tcBorders>
              <w:top w:val="single" w:sz="4" w:space="0" w:color="auto"/>
              <w:left w:val="single" w:sz="4" w:space="0" w:color="auto"/>
              <w:bottom w:val="single" w:sz="4" w:space="0" w:color="auto"/>
              <w:right w:val="single" w:sz="4" w:space="0" w:color="auto"/>
            </w:tcBorders>
            <w:hideMark/>
          </w:tcPr>
          <w:p w14:paraId="3D0C46A3" w14:textId="65C1A7A1" w:rsidR="00442881" w:rsidRPr="009328F9" w:rsidRDefault="00442881" w:rsidP="00442881">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1: </w:t>
            </w:r>
            <w:r w:rsidR="006D5031" w:rsidRPr="009328F9">
              <w:rPr>
                <w:shd w:val="clear" w:color="auto" w:fill="FFFFFF"/>
              </w:rPr>
              <w:t>Apply curiosity in academic writing​. </w:t>
            </w:r>
          </w:p>
          <w:p w14:paraId="7483031E" w14:textId="6BE42EB6" w:rsidR="0021739C" w:rsidRPr="009328F9" w:rsidRDefault="00442881" w:rsidP="0021739C">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2: </w:t>
            </w:r>
            <w:r w:rsidR="0021739C" w:rsidRPr="009328F9">
              <w:rPr>
                <w:shd w:val="clear" w:color="auto" w:fill="FFFFFF"/>
              </w:rPr>
              <w:t>Practice openness to new perspectives. </w:t>
            </w:r>
          </w:p>
          <w:p w14:paraId="6EEE9700" w14:textId="6D2376D0" w:rsidR="00442881" w:rsidRPr="009328F9" w:rsidRDefault="00442881" w:rsidP="003E43A8">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5: </w:t>
            </w:r>
            <w:r w:rsidR="003E43A8" w:rsidRPr="009328F9">
              <w:rPr>
                <w:shd w:val="clear" w:color="auto" w:fill="FFFFFF"/>
              </w:rPr>
              <w:t>Generate example-based feedback to others' writing.</w:t>
            </w:r>
          </w:p>
          <w:p w14:paraId="7DD2B06F" w14:textId="6F06B31F" w:rsidR="00CC687D" w:rsidRPr="009328F9" w:rsidRDefault="00442881" w:rsidP="00CC687D">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6</w:t>
            </w:r>
            <w:r w:rsidR="00CC687D" w:rsidRPr="009328F9">
              <w:rPr>
                <w:shd w:val="clear" w:color="auto" w:fill="FFFFFF"/>
              </w:rPr>
              <w:t xml:space="preserve">: </w:t>
            </w:r>
            <w:r w:rsidR="00CC687D" w:rsidRPr="009328F9">
              <w:rPr>
                <w:shd w:val="clear" w:color="auto" w:fill="FFFFFF"/>
              </w:rPr>
              <w:t>Develop strategies for revising writing projects across drafts.</w:t>
            </w:r>
          </w:p>
          <w:p w14:paraId="0BBD3659" w14:textId="37AEE2BD" w:rsidR="00442881" w:rsidRPr="009328F9" w:rsidRDefault="00442881" w:rsidP="00442881">
            <w:r w:rsidRPr="009328F9">
              <w:t xml:space="preserve">WRIT </w:t>
            </w:r>
            <w:r w:rsidR="00C342FB">
              <w:t>1110</w:t>
            </w:r>
            <w:r w:rsidRPr="009328F9">
              <w:t xml:space="preserve"> 7: </w:t>
            </w:r>
            <w:r w:rsidRPr="009328F9">
              <w:rPr>
                <w:shd w:val="clear" w:color="auto" w:fill="FFFFFF"/>
              </w:rPr>
              <w:t>Use documentation, syntax, grammar, mechanics, and formatting strategically. </w:t>
            </w:r>
          </w:p>
        </w:tc>
      </w:tr>
      <w:tr w:rsidR="00442881" w:rsidRPr="009328F9" w14:paraId="1B2C1BB9" w14:textId="77777777" w:rsidTr="00442881">
        <w:trPr>
          <w:trHeight w:val="754"/>
        </w:trPr>
        <w:tc>
          <w:tcPr>
            <w:tcW w:w="3775" w:type="dxa"/>
            <w:tcBorders>
              <w:top w:val="single" w:sz="4" w:space="0" w:color="auto"/>
              <w:left w:val="single" w:sz="4" w:space="0" w:color="auto"/>
              <w:bottom w:val="single" w:sz="4" w:space="0" w:color="auto"/>
              <w:right w:val="single" w:sz="4" w:space="0" w:color="auto"/>
            </w:tcBorders>
            <w:hideMark/>
          </w:tcPr>
          <w:p w14:paraId="06C2DB14" w14:textId="77777777" w:rsidR="00442881" w:rsidRPr="009328F9" w:rsidRDefault="00442881" w:rsidP="00442881">
            <w:r w:rsidRPr="009328F9">
              <w:rPr>
                <w:rFonts w:eastAsia="Calibri"/>
                <w:b/>
                <w:bCs/>
              </w:rPr>
              <w:t xml:space="preserve">ECOC 3. </w:t>
            </w:r>
            <w:r w:rsidRPr="009328F9">
              <w:rPr>
                <w:shd w:val="clear" w:color="auto" w:fill="FFFFFF"/>
              </w:rPr>
              <w:t>Analyze how the principles of rhetoric work together to promote effective communication.</w:t>
            </w:r>
          </w:p>
          <w:p w14:paraId="7C5B38BF" w14:textId="77777777" w:rsidR="00442881" w:rsidRPr="009328F9" w:rsidRDefault="00442881" w:rsidP="00442881"/>
        </w:tc>
        <w:tc>
          <w:tcPr>
            <w:tcW w:w="6750" w:type="dxa"/>
            <w:tcBorders>
              <w:top w:val="single" w:sz="4" w:space="0" w:color="auto"/>
              <w:left w:val="single" w:sz="4" w:space="0" w:color="auto"/>
              <w:bottom w:val="single" w:sz="4" w:space="0" w:color="auto"/>
              <w:right w:val="single" w:sz="4" w:space="0" w:color="auto"/>
            </w:tcBorders>
            <w:hideMark/>
          </w:tcPr>
          <w:p w14:paraId="02C9D3AB" w14:textId="06E383E7" w:rsidR="00442881" w:rsidRPr="009328F9" w:rsidRDefault="00442881" w:rsidP="00442881">
            <w:pPr>
              <w:rPr>
                <w:shd w:val="clear" w:color="auto" w:fill="FFFFFF"/>
              </w:rPr>
            </w:pPr>
            <w:r w:rsidRPr="009328F9">
              <w:t xml:space="preserve">WRIT </w:t>
            </w:r>
            <w:r w:rsidR="00C342FB">
              <w:t>1110</w:t>
            </w:r>
            <w:r w:rsidRPr="009328F9">
              <w:t xml:space="preserve"> 3: </w:t>
            </w:r>
            <w:r w:rsidRPr="009328F9">
              <w:rPr>
                <w:shd w:val="clear" w:color="auto" w:fill="FFFFFF"/>
              </w:rPr>
              <w:t>Practice creativity in approaches to writing.</w:t>
            </w:r>
          </w:p>
          <w:p w14:paraId="115DB79D" w14:textId="1EDEFA0A" w:rsidR="00442881" w:rsidRPr="009328F9" w:rsidRDefault="00442881" w:rsidP="00442881">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4: Read multiple genres of academic writing.</w:t>
            </w:r>
          </w:p>
          <w:p w14:paraId="6AC4CE52" w14:textId="6CC05138" w:rsidR="00442881" w:rsidRPr="009328F9" w:rsidRDefault="009927BD" w:rsidP="009927BD">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8: Communicate example-based reflections about one's writing to a range of audiences.</w:t>
            </w:r>
          </w:p>
        </w:tc>
      </w:tr>
      <w:tr w:rsidR="00442881" w:rsidRPr="009328F9" w14:paraId="3DF143C9" w14:textId="77777777" w:rsidTr="00442881">
        <w:trPr>
          <w:trHeight w:val="817"/>
        </w:trPr>
        <w:tc>
          <w:tcPr>
            <w:tcW w:w="3775" w:type="dxa"/>
            <w:tcBorders>
              <w:top w:val="single" w:sz="4" w:space="0" w:color="auto"/>
              <w:left w:val="single" w:sz="4" w:space="0" w:color="auto"/>
              <w:bottom w:val="single" w:sz="4" w:space="0" w:color="auto"/>
              <w:right w:val="single" w:sz="4" w:space="0" w:color="auto"/>
            </w:tcBorders>
          </w:tcPr>
          <w:p w14:paraId="06304C78" w14:textId="77777777" w:rsidR="00442881" w:rsidRPr="009328F9" w:rsidRDefault="00442881" w:rsidP="00442881">
            <w:r w:rsidRPr="009328F9">
              <w:rPr>
                <w:b/>
              </w:rPr>
              <w:t>ECOC 4.</w:t>
            </w:r>
            <w:r w:rsidRPr="009328F9">
              <w:t xml:space="preserve"> Communicate effectively when participating in small groups and/or making formal presentations.</w:t>
            </w:r>
          </w:p>
        </w:tc>
        <w:tc>
          <w:tcPr>
            <w:tcW w:w="6750" w:type="dxa"/>
            <w:tcBorders>
              <w:top w:val="single" w:sz="4" w:space="0" w:color="auto"/>
              <w:left w:val="single" w:sz="4" w:space="0" w:color="auto"/>
              <w:bottom w:val="single" w:sz="4" w:space="0" w:color="auto"/>
              <w:right w:val="single" w:sz="4" w:space="0" w:color="auto"/>
            </w:tcBorders>
          </w:tcPr>
          <w:p w14:paraId="48D61F96" w14:textId="6C74BAA3" w:rsidR="003E43A8" w:rsidRPr="009328F9" w:rsidRDefault="003E43A8" w:rsidP="003E43A8">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5: Generate example-based feedback to others' writing.</w:t>
            </w:r>
          </w:p>
          <w:p w14:paraId="05F25D48" w14:textId="21069BC1" w:rsidR="00442881" w:rsidRPr="009328F9" w:rsidRDefault="009927BD" w:rsidP="009927BD">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8: Communicate example-based reflections about one's writing to a range of audiences.</w:t>
            </w:r>
          </w:p>
        </w:tc>
      </w:tr>
      <w:tr w:rsidR="00442881" w:rsidRPr="009328F9" w14:paraId="38CDCC6E" w14:textId="77777777" w:rsidTr="00442881">
        <w:trPr>
          <w:trHeight w:val="817"/>
        </w:trPr>
        <w:tc>
          <w:tcPr>
            <w:tcW w:w="3775" w:type="dxa"/>
            <w:tcBorders>
              <w:top w:val="single" w:sz="4" w:space="0" w:color="auto"/>
              <w:left w:val="single" w:sz="4" w:space="0" w:color="auto"/>
              <w:bottom w:val="single" w:sz="4" w:space="0" w:color="auto"/>
              <w:right w:val="single" w:sz="4" w:space="0" w:color="auto"/>
            </w:tcBorders>
            <w:hideMark/>
          </w:tcPr>
          <w:p w14:paraId="6BC24B6F" w14:textId="77777777" w:rsidR="00442881" w:rsidRPr="009328F9" w:rsidRDefault="00442881" w:rsidP="00442881">
            <w:r w:rsidRPr="009328F9">
              <w:rPr>
                <w:rFonts w:eastAsia="Calibri"/>
                <w:b/>
                <w:bCs/>
              </w:rPr>
              <w:t xml:space="preserve">ECOC 5. </w:t>
            </w:r>
            <w:r w:rsidRPr="009328F9">
              <w:rPr>
                <w:shd w:val="clear" w:color="auto" w:fill="FFFFFF"/>
              </w:rPr>
              <w:t>Utilize rhetorical strategies that are well-suited to the rhetorical situation, including appropriate voice, tone, and levels of formality.</w:t>
            </w:r>
          </w:p>
          <w:p w14:paraId="17D4E43A" w14:textId="77777777" w:rsidR="00442881" w:rsidRPr="009328F9" w:rsidRDefault="00442881" w:rsidP="00442881"/>
        </w:tc>
        <w:tc>
          <w:tcPr>
            <w:tcW w:w="6750" w:type="dxa"/>
            <w:tcBorders>
              <w:top w:val="single" w:sz="4" w:space="0" w:color="auto"/>
              <w:left w:val="single" w:sz="4" w:space="0" w:color="auto"/>
              <w:bottom w:val="single" w:sz="4" w:space="0" w:color="auto"/>
              <w:right w:val="single" w:sz="4" w:space="0" w:color="auto"/>
            </w:tcBorders>
          </w:tcPr>
          <w:p w14:paraId="54E6A295" w14:textId="1EBC5784" w:rsidR="0021739C" w:rsidRPr="009328F9" w:rsidRDefault="00442881" w:rsidP="0021739C">
            <w:pPr>
              <w:rPr>
                <w:shd w:val="clear" w:color="auto" w:fill="FFFFFF"/>
              </w:rPr>
            </w:pPr>
            <w:r w:rsidRPr="009328F9">
              <w:t xml:space="preserve">WRIT </w:t>
            </w:r>
            <w:r w:rsidR="00C342FB">
              <w:t>1110</w:t>
            </w:r>
            <w:r w:rsidRPr="009328F9">
              <w:t xml:space="preserve"> 2: </w:t>
            </w:r>
            <w:r w:rsidR="0021739C" w:rsidRPr="009328F9">
              <w:rPr>
                <w:shd w:val="clear" w:color="auto" w:fill="FFFFFF"/>
              </w:rPr>
              <w:t>Practice openness to new perspectives. </w:t>
            </w:r>
          </w:p>
          <w:p w14:paraId="1CB43A2F" w14:textId="60DC9965" w:rsidR="0083598A" w:rsidRPr="009328F9" w:rsidRDefault="0083598A" w:rsidP="0083598A">
            <w:pPr>
              <w:rPr>
                <w:shd w:val="clear" w:color="auto" w:fill="FFFFFF"/>
              </w:rPr>
            </w:pPr>
            <w:r w:rsidRPr="009328F9">
              <w:t xml:space="preserve">WRIT </w:t>
            </w:r>
            <w:r w:rsidR="00C342FB">
              <w:t>1110</w:t>
            </w:r>
            <w:r w:rsidRPr="009328F9">
              <w:t xml:space="preserve"> 3: </w:t>
            </w:r>
            <w:r w:rsidRPr="009328F9">
              <w:rPr>
                <w:shd w:val="clear" w:color="auto" w:fill="FFFFFF"/>
              </w:rPr>
              <w:t>Practice creativity in approaches to writing.</w:t>
            </w:r>
          </w:p>
          <w:p w14:paraId="1F1D0ECF" w14:textId="31B3C857" w:rsidR="00442881" w:rsidRPr="009328F9" w:rsidRDefault="00442881" w:rsidP="00442881">
            <w:r w:rsidRPr="009328F9">
              <w:t xml:space="preserve">WRIT </w:t>
            </w:r>
            <w:r w:rsidR="00C342FB">
              <w:t>1110</w:t>
            </w:r>
            <w:r w:rsidRPr="009328F9">
              <w:t xml:space="preserve"> 7: </w:t>
            </w:r>
            <w:r w:rsidRPr="009328F9">
              <w:rPr>
                <w:shd w:val="clear" w:color="auto" w:fill="FFFFFF"/>
              </w:rPr>
              <w:t>Use documentation, syntax, grammar, mechanics, and formatting strategically. </w:t>
            </w:r>
            <w:r w:rsidRPr="009328F9">
              <w:t xml:space="preserve"> </w:t>
            </w:r>
          </w:p>
        </w:tc>
      </w:tr>
      <w:tr w:rsidR="00442881" w:rsidRPr="009328F9" w14:paraId="4D4F06E5" w14:textId="77777777" w:rsidTr="00442881">
        <w:trPr>
          <w:trHeight w:val="663"/>
        </w:trPr>
        <w:tc>
          <w:tcPr>
            <w:tcW w:w="3775" w:type="dxa"/>
            <w:tcBorders>
              <w:top w:val="single" w:sz="4" w:space="0" w:color="auto"/>
              <w:left w:val="single" w:sz="4" w:space="0" w:color="auto"/>
              <w:bottom w:val="single" w:sz="4" w:space="0" w:color="auto"/>
              <w:right w:val="single" w:sz="4" w:space="0" w:color="auto"/>
            </w:tcBorders>
            <w:hideMark/>
          </w:tcPr>
          <w:p w14:paraId="4A285866" w14:textId="72313B1F" w:rsidR="00442881" w:rsidRPr="009328F9" w:rsidRDefault="00442881" w:rsidP="00442881">
            <w:pPr>
              <w:rPr>
                <w:rFonts w:eastAsia="Calibri"/>
              </w:rPr>
            </w:pPr>
            <w:r w:rsidRPr="009328F9">
              <w:rPr>
                <w:rFonts w:eastAsia="Calibri"/>
                <w:b/>
                <w:bCs/>
              </w:rPr>
              <w:t xml:space="preserve">ECOC 6. </w:t>
            </w:r>
            <w:r w:rsidRPr="009328F9">
              <w:rPr>
                <w:shd w:val="clear" w:color="auto" w:fill="FFFFFF"/>
              </w:rPr>
              <w:t>Demonstrate critical thinking, reading, and writing strategies when crafting arguments that synthesize multiple points of view.</w:t>
            </w:r>
          </w:p>
        </w:tc>
        <w:tc>
          <w:tcPr>
            <w:tcW w:w="6750" w:type="dxa"/>
            <w:tcBorders>
              <w:top w:val="single" w:sz="4" w:space="0" w:color="auto"/>
              <w:left w:val="single" w:sz="4" w:space="0" w:color="auto"/>
              <w:bottom w:val="single" w:sz="4" w:space="0" w:color="auto"/>
              <w:right w:val="single" w:sz="4" w:space="0" w:color="auto"/>
            </w:tcBorders>
            <w:hideMark/>
          </w:tcPr>
          <w:p w14:paraId="3D181934" w14:textId="423E5AA6" w:rsidR="006D5031" w:rsidRPr="009328F9" w:rsidRDefault="006D5031" w:rsidP="006D5031">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1: Apply curiosity in academic writing​. </w:t>
            </w:r>
          </w:p>
          <w:p w14:paraId="4BBA0145" w14:textId="432E3496" w:rsidR="00442881" w:rsidRPr="009328F9" w:rsidRDefault="00442881" w:rsidP="00442881">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4: Read multiple genres of </w:t>
            </w:r>
            <w:r w:rsidR="00C342FB">
              <w:rPr>
                <w:shd w:val="clear" w:color="auto" w:fill="FFFFFF"/>
              </w:rPr>
              <w:t>academic</w:t>
            </w:r>
            <w:r w:rsidRPr="009328F9">
              <w:rPr>
                <w:shd w:val="clear" w:color="auto" w:fill="FFFFFF"/>
              </w:rPr>
              <w:t xml:space="preserve"> writing.</w:t>
            </w:r>
          </w:p>
          <w:p w14:paraId="39C5D500" w14:textId="5E65174A" w:rsidR="003E43A8" w:rsidRPr="009328F9" w:rsidRDefault="003E43A8" w:rsidP="003E43A8">
            <w:pPr>
              <w:rPr>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5: Generate example-based feedback to others' writing.</w:t>
            </w:r>
          </w:p>
          <w:p w14:paraId="08D422FD" w14:textId="6AA0B52F" w:rsidR="00442881" w:rsidRPr="009328F9" w:rsidRDefault="009927BD" w:rsidP="009927BD">
            <w:pPr>
              <w:rPr>
                <w:rFonts w:eastAsiaTheme="minorEastAsia"/>
                <w:shd w:val="clear" w:color="auto" w:fill="FFFFFF"/>
              </w:rPr>
            </w:pPr>
            <w:r w:rsidRPr="009328F9">
              <w:rPr>
                <w:shd w:val="clear" w:color="auto" w:fill="FFFFFF"/>
              </w:rPr>
              <w:t xml:space="preserve">WRIT </w:t>
            </w:r>
            <w:r w:rsidR="00C342FB">
              <w:rPr>
                <w:shd w:val="clear" w:color="auto" w:fill="FFFFFF"/>
              </w:rPr>
              <w:t>1110</w:t>
            </w:r>
            <w:r w:rsidRPr="009328F9">
              <w:rPr>
                <w:shd w:val="clear" w:color="auto" w:fill="FFFFFF"/>
              </w:rPr>
              <w:t xml:space="preserve"> 8: Communicate example-based reflections about one's writing to a range of audiences.</w:t>
            </w:r>
          </w:p>
        </w:tc>
      </w:tr>
    </w:tbl>
    <w:p w14:paraId="3B78E773" w14:textId="77777777" w:rsidR="00B65123" w:rsidRPr="009328F9" w:rsidRDefault="00C342FB"/>
    <w:sectPr w:rsidR="00B65123" w:rsidRPr="009328F9" w:rsidSect="006E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4D"/>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15"/>
    <w:rsid w:val="0021739C"/>
    <w:rsid w:val="003E43A8"/>
    <w:rsid w:val="00442881"/>
    <w:rsid w:val="00491D30"/>
    <w:rsid w:val="006D5031"/>
    <w:rsid w:val="006E410E"/>
    <w:rsid w:val="0083598A"/>
    <w:rsid w:val="009328F9"/>
    <w:rsid w:val="009927BD"/>
    <w:rsid w:val="009A2A9C"/>
    <w:rsid w:val="00A71203"/>
    <w:rsid w:val="00AA543B"/>
    <w:rsid w:val="00B83DBD"/>
    <w:rsid w:val="00B9409C"/>
    <w:rsid w:val="00C342FB"/>
    <w:rsid w:val="00C55915"/>
    <w:rsid w:val="00CC687D"/>
    <w:rsid w:val="00D92EC5"/>
    <w:rsid w:val="00D974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55A1"/>
  <w15:chartTrackingRefBased/>
  <w15:docId w15:val="{45DFA0AB-31D3-944D-B28C-12654E33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Theme="minorEastAsia" w:hAnsi="Goudy Old Style" w:cs="Times New Roman (Body CS)"/>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A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Indented"/>
    <w:basedOn w:val="Normal"/>
    <w:qFormat/>
    <w:rsid w:val="00D92EC5"/>
    <w:pPr>
      <w:ind w:left="720"/>
    </w:pPr>
    <w:rPr>
      <w:rFonts w:ascii="Goudy Old Style" w:hAnsi="Goudy Old Style" w:cs="Times New Roman (Body CS)"/>
    </w:rPr>
  </w:style>
  <w:style w:type="paragraph" w:customStyle="1" w:styleId="IndentedDouble">
    <w:name w:val="Indented Double"/>
    <w:basedOn w:val="Normal"/>
    <w:qFormat/>
    <w:rsid w:val="00D92EC5"/>
    <w:pPr>
      <w:ind w:left="1440"/>
    </w:pPr>
    <w:rPr>
      <w:rFonts w:ascii="Goudy Old Style" w:hAnsi="Goudy Old Style"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178">
      <w:bodyDiv w:val="1"/>
      <w:marLeft w:val="0"/>
      <w:marRight w:val="0"/>
      <w:marTop w:val="0"/>
      <w:marBottom w:val="0"/>
      <w:divBdr>
        <w:top w:val="none" w:sz="0" w:space="0" w:color="auto"/>
        <w:left w:val="none" w:sz="0" w:space="0" w:color="auto"/>
        <w:bottom w:val="none" w:sz="0" w:space="0" w:color="auto"/>
        <w:right w:val="none" w:sz="0" w:space="0" w:color="auto"/>
      </w:divBdr>
    </w:div>
    <w:div w:id="736712363">
      <w:bodyDiv w:val="1"/>
      <w:marLeft w:val="0"/>
      <w:marRight w:val="0"/>
      <w:marTop w:val="0"/>
      <w:marBottom w:val="0"/>
      <w:divBdr>
        <w:top w:val="none" w:sz="0" w:space="0" w:color="auto"/>
        <w:left w:val="none" w:sz="0" w:space="0" w:color="auto"/>
        <w:bottom w:val="none" w:sz="0" w:space="0" w:color="auto"/>
        <w:right w:val="none" w:sz="0" w:space="0" w:color="auto"/>
      </w:divBdr>
    </w:div>
    <w:div w:id="942499524">
      <w:bodyDiv w:val="1"/>
      <w:marLeft w:val="0"/>
      <w:marRight w:val="0"/>
      <w:marTop w:val="0"/>
      <w:marBottom w:val="0"/>
      <w:divBdr>
        <w:top w:val="none" w:sz="0" w:space="0" w:color="auto"/>
        <w:left w:val="none" w:sz="0" w:space="0" w:color="auto"/>
        <w:bottom w:val="none" w:sz="0" w:space="0" w:color="auto"/>
        <w:right w:val="none" w:sz="0" w:space="0" w:color="auto"/>
      </w:divBdr>
    </w:div>
    <w:div w:id="1015957351">
      <w:bodyDiv w:val="1"/>
      <w:marLeft w:val="0"/>
      <w:marRight w:val="0"/>
      <w:marTop w:val="0"/>
      <w:marBottom w:val="0"/>
      <w:divBdr>
        <w:top w:val="none" w:sz="0" w:space="0" w:color="auto"/>
        <w:left w:val="none" w:sz="0" w:space="0" w:color="auto"/>
        <w:bottom w:val="none" w:sz="0" w:space="0" w:color="auto"/>
        <w:right w:val="none" w:sz="0" w:space="0" w:color="auto"/>
      </w:divBdr>
    </w:div>
    <w:div w:id="1047491296">
      <w:bodyDiv w:val="1"/>
      <w:marLeft w:val="0"/>
      <w:marRight w:val="0"/>
      <w:marTop w:val="0"/>
      <w:marBottom w:val="0"/>
      <w:divBdr>
        <w:top w:val="none" w:sz="0" w:space="0" w:color="auto"/>
        <w:left w:val="none" w:sz="0" w:space="0" w:color="auto"/>
        <w:bottom w:val="none" w:sz="0" w:space="0" w:color="auto"/>
        <w:right w:val="none" w:sz="0" w:space="0" w:color="auto"/>
      </w:divBdr>
    </w:div>
    <w:div w:id="1137532103">
      <w:bodyDiv w:val="1"/>
      <w:marLeft w:val="0"/>
      <w:marRight w:val="0"/>
      <w:marTop w:val="0"/>
      <w:marBottom w:val="0"/>
      <w:divBdr>
        <w:top w:val="none" w:sz="0" w:space="0" w:color="auto"/>
        <w:left w:val="none" w:sz="0" w:space="0" w:color="auto"/>
        <w:bottom w:val="none" w:sz="0" w:space="0" w:color="auto"/>
        <w:right w:val="none" w:sz="0" w:space="0" w:color="auto"/>
      </w:divBdr>
    </w:div>
    <w:div w:id="1858040559">
      <w:bodyDiv w:val="1"/>
      <w:marLeft w:val="0"/>
      <w:marRight w:val="0"/>
      <w:marTop w:val="0"/>
      <w:marBottom w:val="0"/>
      <w:divBdr>
        <w:top w:val="none" w:sz="0" w:space="0" w:color="auto"/>
        <w:left w:val="none" w:sz="0" w:space="0" w:color="auto"/>
        <w:bottom w:val="none" w:sz="0" w:space="0" w:color="auto"/>
        <w:right w:val="none" w:sz="0" w:space="0" w:color="auto"/>
      </w:divBdr>
    </w:div>
    <w:div w:id="20594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909040E05F84C80AD7C3A6FE35627" ma:contentTypeVersion="15" ma:contentTypeDescription="Create a new document." ma:contentTypeScope="" ma:versionID="0cd70427209318a1975eae74a1f18c1c">
  <xsd:schema xmlns:xsd="http://www.w3.org/2001/XMLSchema" xmlns:xs="http://www.w3.org/2001/XMLSchema" xmlns:p="http://schemas.microsoft.com/office/2006/metadata/properties" xmlns:ns1="http://schemas.microsoft.com/sharepoint/v3" xmlns:ns3="46ba200c-b3bc-4e3c-91b3-432d5ef3125a" xmlns:ns4="b05578ba-4629-4e3c-97fc-a3fafc9f31d2" targetNamespace="http://schemas.microsoft.com/office/2006/metadata/properties" ma:root="true" ma:fieldsID="5cff0f4cca80357bdd30dd8e93b05cde" ns1:_="" ns3:_="" ns4:_="">
    <xsd:import namespace="http://schemas.microsoft.com/sharepoint/v3"/>
    <xsd:import namespace="46ba200c-b3bc-4e3c-91b3-432d5ef3125a"/>
    <xsd:import namespace="b05578ba-4629-4e3c-97fc-a3fafc9f31d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a200c-b3bc-4e3c-91b3-432d5ef312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578ba-4629-4e3c-97fc-a3fafc9f31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156F07-75EE-4548-8E0A-344478EF7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ba200c-b3bc-4e3c-91b3-432d5ef3125a"/>
    <ds:schemaRef ds:uri="b05578ba-4629-4e3c-97fc-a3fafc9f3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64F4E-516C-40D3-BF9E-4969251B3D5B}">
  <ds:schemaRefs>
    <ds:schemaRef ds:uri="http://schemas.microsoft.com/sharepoint/v3/contenttype/forms"/>
  </ds:schemaRefs>
</ds:datastoreItem>
</file>

<file path=customXml/itemProps3.xml><?xml version="1.0" encoding="utf-8"?>
<ds:datastoreItem xmlns:ds="http://schemas.openxmlformats.org/officeDocument/2006/customXml" ds:itemID="{8D119C03-B556-40B8-A681-648044CC677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Ray Urias</dc:creator>
  <cp:keywords/>
  <dc:description/>
  <cp:lastModifiedBy>Brian Ray Urias</cp:lastModifiedBy>
  <cp:revision>10</cp:revision>
  <dcterms:created xsi:type="dcterms:W3CDTF">2020-04-27T18:35:00Z</dcterms:created>
  <dcterms:modified xsi:type="dcterms:W3CDTF">2020-04-27T18:41:00Z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0x01010089B909040E05F84C80AD7C3A6FE35627</vt:lpwstr>
  </property>
</Properties>
</file>