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751" w:rsidRPr="00B01B49" w:rsidRDefault="00BA0751" w:rsidP="00BA0751">
      <w:pPr>
        <w:spacing w:after="0" w:line="240" w:lineRule="auto"/>
        <w:rPr>
          <w:i/>
        </w:rPr>
      </w:pPr>
      <w:bookmarkStart w:id="0" w:name="_GoBack"/>
      <w:bookmarkEnd w:id="0"/>
      <w:r w:rsidRPr="00B01B49">
        <w:rPr>
          <w:i/>
        </w:rPr>
        <w:t>IUPUI Taxonomy for Service Learning Courses – Course Design Centric for Institutional Assessment and Research</w:t>
      </w:r>
    </w:p>
    <w:p w:rsidR="00BA0751" w:rsidRPr="00BA0751" w:rsidRDefault="00BA0751" w:rsidP="00BA0751">
      <w:pPr>
        <w:spacing w:after="0" w:line="240" w:lineRule="auto"/>
        <w:jc w:val="center"/>
      </w:pPr>
    </w:p>
    <w:tbl>
      <w:tblPr>
        <w:tblStyle w:val="TableGrid"/>
        <w:tblW w:w="14958" w:type="dxa"/>
        <w:tblInd w:w="-900" w:type="dxa"/>
        <w:tblLook w:val="04A0" w:firstRow="1" w:lastRow="0" w:firstColumn="1" w:lastColumn="0" w:noHBand="0" w:noVBand="1"/>
      </w:tblPr>
      <w:tblGrid>
        <w:gridCol w:w="3528"/>
        <w:gridCol w:w="3420"/>
        <w:gridCol w:w="3870"/>
        <w:gridCol w:w="4140"/>
      </w:tblGrid>
      <w:tr w:rsidR="00BA0751" w:rsidRPr="00B01B71" w:rsidTr="00EC2067">
        <w:tc>
          <w:tcPr>
            <w:tcW w:w="3528" w:type="dxa"/>
          </w:tcPr>
          <w:p w:rsidR="00BA0751" w:rsidRPr="00B01B71" w:rsidRDefault="00BA0751" w:rsidP="00BA0751">
            <w:pPr>
              <w:spacing w:line="240" w:lineRule="auto"/>
              <w:jc w:val="center"/>
              <w:rPr>
                <w:b/>
              </w:rPr>
            </w:pPr>
            <w:r>
              <w:rPr>
                <w:b/>
              </w:rPr>
              <w:t>SL Course Attributes</w:t>
            </w:r>
          </w:p>
        </w:tc>
        <w:tc>
          <w:tcPr>
            <w:tcW w:w="3420" w:type="dxa"/>
          </w:tcPr>
          <w:p w:rsidR="00BA0751" w:rsidRPr="00B01B71" w:rsidRDefault="00BA0751" w:rsidP="00BA0751">
            <w:pPr>
              <w:spacing w:line="240" w:lineRule="auto"/>
              <w:jc w:val="center"/>
              <w:rPr>
                <w:b/>
              </w:rPr>
            </w:pPr>
            <w:r w:rsidRPr="00B01B71">
              <w:rPr>
                <w:b/>
              </w:rPr>
              <w:t>Low</w:t>
            </w:r>
            <w:r>
              <w:rPr>
                <w:b/>
              </w:rPr>
              <w:t xml:space="preserve"> Intensity</w:t>
            </w:r>
          </w:p>
        </w:tc>
        <w:tc>
          <w:tcPr>
            <w:tcW w:w="3870" w:type="dxa"/>
          </w:tcPr>
          <w:p w:rsidR="00BA0751" w:rsidRPr="00B01B71" w:rsidRDefault="00BA0751" w:rsidP="00BA0751">
            <w:pPr>
              <w:spacing w:line="240" w:lineRule="auto"/>
              <w:jc w:val="center"/>
              <w:rPr>
                <w:b/>
              </w:rPr>
            </w:pPr>
            <w:r w:rsidRPr="00B01B71">
              <w:rPr>
                <w:b/>
              </w:rPr>
              <w:t>Medium</w:t>
            </w:r>
            <w:r>
              <w:rPr>
                <w:b/>
              </w:rPr>
              <w:t xml:space="preserve"> Intensity</w:t>
            </w:r>
          </w:p>
        </w:tc>
        <w:tc>
          <w:tcPr>
            <w:tcW w:w="4140" w:type="dxa"/>
          </w:tcPr>
          <w:p w:rsidR="00BA0751" w:rsidRPr="00B01B71" w:rsidRDefault="00BA0751" w:rsidP="00BA0751">
            <w:pPr>
              <w:spacing w:line="240" w:lineRule="auto"/>
              <w:jc w:val="center"/>
              <w:rPr>
                <w:b/>
              </w:rPr>
            </w:pPr>
            <w:r w:rsidRPr="00B01B71">
              <w:rPr>
                <w:b/>
              </w:rPr>
              <w:t>High</w:t>
            </w:r>
            <w:r>
              <w:rPr>
                <w:b/>
              </w:rPr>
              <w:t xml:space="preserve"> Intensity</w:t>
            </w:r>
          </w:p>
        </w:tc>
      </w:tr>
      <w:tr w:rsidR="00BA0751" w:rsidRPr="00816EEC" w:rsidTr="00EC2067">
        <w:tc>
          <w:tcPr>
            <w:tcW w:w="3528" w:type="dxa"/>
          </w:tcPr>
          <w:p w:rsidR="00BA0751" w:rsidRPr="002C7C06" w:rsidRDefault="00BA0751" w:rsidP="00BA0751">
            <w:pPr>
              <w:spacing w:line="240" w:lineRule="auto"/>
              <w:rPr>
                <w:b/>
                <w:sz w:val="20"/>
                <w:szCs w:val="20"/>
              </w:rPr>
            </w:pPr>
            <w:r>
              <w:rPr>
                <w:b/>
                <w:sz w:val="20"/>
                <w:szCs w:val="20"/>
              </w:rPr>
              <w:t xml:space="preserve">1) </w:t>
            </w:r>
            <w:r w:rsidRPr="002C7C06">
              <w:rPr>
                <w:b/>
                <w:sz w:val="20"/>
                <w:szCs w:val="20"/>
              </w:rPr>
              <w:t>Reciprocal partnerships and proce</w:t>
            </w:r>
            <w:r>
              <w:rPr>
                <w:b/>
                <w:sz w:val="20"/>
                <w:szCs w:val="20"/>
              </w:rPr>
              <w:t>sses shape the community activities</w:t>
            </w:r>
            <w:r w:rsidRPr="002C7C06">
              <w:rPr>
                <w:b/>
                <w:sz w:val="20"/>
                <w:szCs w:val="20"/>
              </w:rPr>
              <w:t xml:space="preserve"> and course design.</w:t>
            </w:r>
          </w:p>
        </w:tc>
        <w:tc>
          <w:tcPr>
            <w:tcW w:w="3420" w:type="dxa"/>
          </w:tcPr>
          <w:p w:rsidR="00BA0751" w:rsidRDefault="00BA0751" w:rsidP="00BA0751">
            <w:pPr>
              <w:spacing w:line="240" w:lineRule="auto"/>
              <w:rPr>
                <w:sz w:val="20"/>
                <w:szCs w:val="20"/>
              </w:rPr>
            </w:pPr>
            <w:r w:rsidRPr="00B8036F">
              <w:rPr>
                <w:sz w:val="20"/>
                <w:szCs w:val="20"/>
              </w:rPr>
              <w:t>The instructor contacts a community organization to host students</w:t>
            </w:r>
            <w:r>
              <w:rPr>
                <w:sz w:val="20"/>
                <w:szCs w:val="20"/>
              </w:rPr>
              <w:t xml:space="preserve"> and </w:t>
            </w:r>
            <w:r w:rsidRPr="00B8036F">
              <w:rPr>
                <w:sz w:val="20"/>
                <w:szCs w:val="20"/>
              </w:rPr>
              <w:t xml:space="preserve">provides </w:t>
            </w:r>
            <w:r>
              <w:rPr>
                <w:sz w:val="20"/>
                <w:szCs w:val="20"/>
              </w:rPr>
              <w:t xml:space="preserve">a brief overview </w:t>
            </w:r>
            <w:r w:rsidRPr="00B8036F">
              <w:rPr>
                <w:sz w:val="20"/>
                <w:szCs w:val="20"/>
              </w:rPr>
              <w:t xml:space="preserve">of the course (e.g., learning outcomes, syllabus) </w:t>
            </w:r>
            <w:r>
              <w:rPr>
                <w:sz w:val="20"/>
                <w:szCs w:val="20"/>
              </w:rPr>
              <w:t>and the purposes of the community activities.</w:t>
            </w:r>
          </w:p>
          <w:p w:rsidR="00BA0751" w:rsidRDefault="00BA0751" w:rsidP="00BA0751">
            <w:pPr>
              <w:spacing w:line="240" w:lineRule="auto"/>
              <w:rPr>
                <w:sz w:val="20"/>
                <w:szCs w:val="20"/>
                <w:highlight w:val="yellow"/>
              </w:rPr>
            </w:pPr>
          </w:p>
          <w:p w:rsidR="00BA0751" w:rsidRPr="00B8036F" w:rsidRDefault="00BA0751" w:rsidP="00BA0751">
            <w:pPr>
              <w:spacing w:line="240" w:lineRule="auto"/>
              <w:rPr>
                <w:sz w:val="20"/>
                <w:szCs w:val="20"/>
              </w:rPr>
            </w:pPr>
          </w:p>
        </w:tc>
        <w:tc>
          <w:tcPr>
            <w:tcW w:w="3870" w:type="dxa"/>
          </w:tcPr>
          <w:p w:rsidR="00BA0751" w:rsidRPr="00B8036F" w:rsidRDefault="00BA0751" w:rsidP="00BA0751">
            <w:pPr>
              <w:spacing w:line="240" w:lineRule="auto"/>
              <w:rPr>
                <w:sz w:val="20"/>
                <w:szCs w:val="20"/>
              </w:rPr>
            </w:pPr>
            <w:r>
              <w:rPr>
                <w:sz w:val="20"/>
                <w:szCs w:val="20"/>
              </w:rPr>
              <w:t xml:space="preserve">The instructor meets </w:t>
            </w:r>
            <w:r w:rsidRPr="00B8036F">
              <w:rPr>
                <w:sz w:val="20"/>
                <w:szCs w:val="20"/>
              </w:rPr>
              <w:t>with the community partner</w:t>
            </w:r>
            <w:r>
              <w:rPr>
                <w:sz w:val="20"/>
                <w:szCs w:val="20"/>
              </w:rPr>
              <w:t>(s)</w:t>
            </w:r>
            <w:r w:rsidRPr="00B8036F">
              <w:rPr>
                <w:sz w:val="20"/>
                <w:szCs w:val="20"/>
              </w:rPr>
              <w:t xml:space="preserve"> to </w:t>
            </w:r>
            <w:r>
              <w:rPr>
                <w:sz w:val="20"/>
                <w:szCs w:val="20"/>
              </w:rPr>
              <w:t xml:space="preserve">discuss the </w:t>
            </w:r>
            <w:r w:rsidRPr="00B8036F">
              <w:rPr>
                <w:sz w:val="20"/>
                <w:szCs w:val="20"/>
              </w:rPr>
              <w:t>course (e.g., preparation/orientation</w:t>
            </w:r>
            <w:r>
              <w:rPr>
                <w:sz w:val="20"/>
                <w:szCs w:val="20"/>
              </w:rPr>
              <w:t xml:space="preserve"> of students</w:t>
            </w:r>
            <w:r w:rsidRPr="00B8036F">
              <w:rPr>
                <w:sz w:val="20"/>
                <w:szCs w:val="20"/>
              </w:rPr>
              <w:t>, learning outcomes, syllabus)</w:t>
            </w:r>
            <w:r>
              <w:rPr>
                <w:sz w:val="20"/>
                <w:szCs w:val="20"/>
              </w:rPr>
              <w:t>, and to</w:t>
            </w:r>
            <w:r w:rsidRPr="00B8036F">
              <w:rPr>
                <w:sz w:val="20"/>
                <w:szCs w:val="20"/>
              </w:rPr>
              <w:t xml:space="preserve"> </w:t>
            </w:r>
            <w:r>
              <w:rPr>
                <w:sz w:val="20"/>
                <w:szCs w:val="20"/>
              </w:rPr>
              <w:t xml:space="preserve">identify how the community activities </w:t>
            </w:r>
            <w:r w:rsidRPr="00B8036F">
              <w:rPr>
                <w:sz w:val="20"/>
                <w:szCs w:val="20"/>
              </w:rPr>
              <w:t xml:space="preserve">can </w:t>
            </w:r>
            <w:r>
              <w:rPr>
                <w:sz w:val="20"/>
                <w:szCs w:val="20"/>
              </w:rPr>
              <w:t xml:space="preserve">enrich student learning and benefit the </w:t>
            </w:r>
            <w:r w:rsidRPr="00B8036F">
              <w:rPr>
                <w:sz w:val="20"/>
                <w:szCs w:val="20"/>
              </w:rPr>
              <w:t>organization</w:t>
            </w:r>
            <w:r>
              <w:rPr>
                <w:sz w:val="20"/>
                <w:szCs w:val="20"/>
              </w:rPr>
              <w:t xml:space="preserve">. </w:t>
            </w:r>
          </w:p>
        </w:tc>
        <w:tc>
          <w:tcPr>
            <w:tcW w:w="4140" w:type="dxa"/>
          </w:tcPr>
          <w:p w:rsidR="00BA0751" w:rsidRPr="00B8036F" w:rsidRDefault="00BA0751" w:rsidP="00BA0751">
            <w:pPr>
              <w:spacing w:line="240" w:lineRule="auto"/>
              <w:rPr>
                <w:sz w:val="20"/>
                <w:szCs w:val="20"/>
              </w:rPr>
            </w:pPr>
            <w:r w:rsidRPr="00B8036F">
              <w:rPr>
                <w:sz w:val="20"/>
                <w:szCs w:val="20"/>
              </w:rPr>
              <w:t>The instructo</w:t>
            </w:r>
            <w:r w:rsidRPr="00803041">
              <w:rPr>
                <w:sz w:val="20"/>
                <w:szCs w:val="20"/>
              </w:rPr>
              <w:t>r collaborates with and learns from the community partner(s) as co-educator</w:t>
            </w:r>
            <w:r w:rsidRPr="00B8036F">
              <w:rPr>
                <w:sz w:val="20"/>
                <w:szCs w:val="20"/>
              </w:rPr>
              <w:t xml:space="preserve"> in various aspects of course planning and design (e.g., learning outcomes, readings, preparation/orientation</w:t>
            </w:r>
            <w:r>
              <w:rPr>
                <w:sz w:val="20"/>
                <w:szCs w:val="20"/>
              </w:rPr>
              <w:t xml:space="preserve"> of students</w:t>
            </w:r>
            <w:r w:rsidRPr="00B8036F">
              <w:rPr>
                <w:sz w:val="20"/>
                <w:szCs w:val="20"/>
              </w:rPr>
              <w:t>, reflection</w:t>
            </w:r>
            <w:r>
              <w:rPr>
                <w:sz w:val="20"/>
                <w:szCs w:val="20"/>
              </w:rPr>
              <w:t>, assessment) and together they identify how the community activities can enrich student learning and add to the capacity of the organization.</w:t>
            </w:r>
          </w:p>
        </w:tc>
      </w:tr>
      <w:tr w:rsidR="00BA0751" w:rsidRPr="00816EEC" w:rsidTr="00EC2067">
        <w:tc>
          <w:tcPr>
            <w:tcW w:w="3528" w:type="dxa"/>
          </w:tcPr>
          <w:p w:rsidR="00BA0751" w:rsidRPr="005E2551" w:rsidRDefault="00BA0751" w:rsidP="00BA0751">
            <w:pPr>
              <w:spacing w:line="240" w:lineRule="auto"/>
              <w:rPr>
                <w:b/>
                <w:sz w:val="20"/>
                <w:szCs w:val="20"/>
              </w:rPr>
            </w:pPr>
            <w:r>
              <w:rPr>
                <w:b/>
                <w:sz w:val="20"/>
                <w:szCs w:val="20"/>
              </w:rPr>
              <w:t xml:space="preserve">2) </w:t>
            </w:r>
            <w:r w:rsidRPr="005E2551">
              <w:rPr>
                <w:b/>
                <w:sz w:val="20"/>
                <w:szCs w:val="20"/>
              </w:rPr>
              <w:t xml:space="preserve">Community </w:t>
            </w:r>
            <w:r>
              <w:rPr>
                <w:b/>
                <w:sz w:val="20"/>
                <w:szCs w:val="20"/>
              </w:rPr>
              <w:t>activities</w:t>
            </w:r>
            <w:r w:rsidR="001101AA">
              <w:rPr>
                <w:b/>
                <w:sz w:val="20"/>
                <w:szCs w:val="20"/>
              </w:rPr>
              <w:t xml:space="preserve"> enhance academic content, course design, and </w:t>
            </w:r>
            <w:r w:rsidRPr="005E2551">
              <w:rPr>
                <w:b/>
                <w:sz w:val="20"/>
                <w:szCs w:val="20"/>
              </w:rPr>
              <w:t>assignments.</w:t>
            </w:r>
          </w:p>
          <w:p w:rsidR="00BA0751" w:rsidRPr="000259A7" w:rsidRDefault="00BA0751" w:rsidP="00BA0751">
            <w:pPr>
              <w:spacing w:line="240" w:lineRule="auto"/>
              <w:rPr>
                <w:b/>
                <w:sz w:val="20"/>
                <w:szCs w:val="20"/>
              </w:rPr>
            </w:pPr>
          </w:p>
          <w:p w:rsidR="00BA0751" w:rsidRPr="000259A7" w:rsidRDefault="00BA0751" w:rsidP="00BA0751">
            <w:pPr>
              <w:spacing w:line="240" w:lineRule="auto"/>
              <w:rPr>
                <w:b/>
                <w:sz w:val="20"/>
                <w:szCs w:val="20"/>
              </w:rPr>
            </w:pPr>
          </w:p>
        </w:tc>
        <w:tc>
          <w:tcPr>
            <w:tcW w:w="3420" w:type="dxa"/>
          </w:tcPr>
          <w:p w:rsidR="00BA0751" w:rsidRPr="00B8036F" w:rsidRDefault="00BA0751" w:rsidP="00BA0751">
            <w:pPr>
              <w:spacing w:line="240" w:lineRule="auto"/>
              <w:rPr>
                <w:sz w:val="20"/>
                <w:szCs w:val="20"/>
              </w:rPr>
            </w:pPr>
            <w:r>
              <w:rPr>
                <w:sz w:val="20"/>
                <w:szCs w:val="20"/>
              </w:rPr>
              <w:t xml:space="preserve">The instructor includes </w:t>
            </w:r>
            <w:r w:rsidRPr="00B8036F">
              <w:rPr>
                <w:sz w:val="20"/>
                <w:szCs w:val="20"/>
              </w:rPr>
              <w:t xml:space="preserve">community </w:t>
            </w:r>
            <w:r>
              <w:rPr>
                <w:sz w:val="20"/>
                <w:szCs w:val="20"/>
              </w:rPr>
              <w:t xml:space="preserve">activities </w:t>
            </w:r>
            <w:r w:rsidRPr="00B8036F">
              <w:rPr>
                <w:sz w:val="20"/>
                <w:szCs w:val="20"/>
              </w:rPr>
              <w:t xml:space="preserve">as an added component of the course but it is not integrated with academic content or assignments. The syllabus does </w:t>
            </w:r>
            <w:r>
              <w:rPr>
                <w:sz w:val="20"/>
                <w:szCs w:val="20"/>
              </w:rPr>
              <w:t xml:space="preserve">not address the purposes of </w:t>
            </w:r>
            <w:r w:rsidRPr="00B8036F">
              <w:rPr>
                <w:sz w:val="20"/>
                <w:szCs w:val="20"/>
              </w:rPr>
              <w:t>the commu</w:t>
            </w:r>
            <w:r>
              <w:rPr>
                <w:sz w:val="20"/>
                <w:szCs w:val="20"/>
              </w:rPr>
              <w:t>nity activities.</w:t>
            </w:r>
          </w:p>
        </w:tc>
        <w:tc>
          <w:tcPr>
            <w:tcW w:w="3870" w:type="dxa"/>
          </w:tcPr>
          <w:p w:rsidR="00BA0751" w:rsidRPr="00B8036F" w:rsidRDefault="00BA0751" w:rsidP="00BA0751">
            <w:pPr>
              <w:spacing w:line="240" w:lineRule="auto"/>
              <w:rPr>
                <w:sz w:val="20"/>
                <w:szCs w:val="20"/>
              </w:rPr>
            </w:pPr>
            <w:r w:rsidRPr="00B8036F">
              <w:rPr>
                <w:sz w:val="20"/>
                <w:szCs w:val="20"/>
              </w:rPr>
              <w:t xml:space="preserve">The instructor utilizes the community </w:t>
            </w:r>
            <w:r>
              <w:rPr>
                <w:sz w:val="20"/>
                <w:szCs w:val="20"/>
              </w:rPr>
              <w:t xml:space="preserve">activities </w:t>
            </w:r>
            <w:r w:rsidRPr="00B8036F">
              <w:rPr>
                <w:sz w:val="20"/>
                <w:szCs w:val="20"/>
              </w:rPr>
              <w:t xml:space="preserve">as a “text” to provide additional insight into </w:t>
            </w:r>
            <w:r>
              <w:rPr>
                <w:sz w:val="20"/>
                <w:szCs w:val="20"/>
              </w:rPr>
              <w:t xml:space="preserve">student </w:t>
            </w:r>
            <w:r w:rsidRPr="00B8036F">
              <w:rPr>
                <w:sz w:val="20"/>
                <w:szCs w:val="20"/>
              </w:rPr>
              <w:t xml:space="preserve">understanding </w:t>
            </w:r>
            <w:r>
              <w:rPr>
                <w:sz w:val="20"/>
                <w:szCs w:val="20"/>
              </w:rPr>
              <w:t xml:space="preserve">of academic </w:t>
            </w:r>
            <w:r w:rsidRPr="00B8036F">
              <w:rPr>
                <w:sz w:val="20"/>
                <w:szCs w:val="20"/>
              </w:rPr>
              <w:t xml:space="preserve">content and </w:t>
            </w:r>
            <w:r>
              <w:rPr>
                <w:sz w:val="20"/>
                <w:szCs w:val="20"/>
              </w:rPr>
              <w:t>ability to complete</w:t>
            </w:r>
            <w:r w:rsidRPr="00B8036F">
              <w:rPr>
                <w:sz w:val="20"/>
                <w:szCs w:val="20"/>
              </w:rPr>
              <w:t xml:space="preserve"> assignments. The syllabus describes the </w:t>
            </w:r>
            <w:r>
              <w:rPr>
                <w:sz w:val="20"/>
                <w:szCs w:val="20"/>
              </w:rPr>
              <w:t xml:space="preserve">relationship of the </w:t>
            </w:r>
            <w:r w:rsidRPr="00B8036F">
              <w:rPr>
                <w:sz w:val="20"/>
                <w:szCs w:val="20"/>
              </w:rPr>
              <w:t xml:space="preserve">community </w:t>
            </w:r>
            <w:r>
              <w:rPr>
                <w:sz w:val="20"/>
                <w:szCs w:val="20"/>
              </w:rPr>
              <w:t>activities to learning outcomes</w:t>
            </w:r>
            <w:r w:rsidRPr="00B8036F">
              <w:rPr>
                <w:sz w:val="20"/>
                <w:szCs w:val="20"/>
              </w:rPr>
              <w:t>.</w:t>
            </w:r>
          </w:p>
        </w:tc>
        <w:tc>
          <w:tcPr>
            <w:tcW w:w="4140" w:type="dxa"/>
          </w:tcPr>
          <w:p w:rsidR="00BA0751" w:rsidRPr="00B8036F" w:rsidRDefault="00BA0751" w:rsidP="00BA0751">
            <w:pPr>
              <w:spacing w:line="240" w:lineRule="auto"/>
              <w:rPr>
                <w:sz w:val="20"/>
                <w:szCs w:val="20"/>
              </w:rPr>
            </w:pPr>
            <w:r w:rsidRPr="00B8036F">
              <w:rPr>
                <w:sz w:val="20"/>
                <w:szCs w:val="20"/>
              </w:rPr>
              <w:t>The instructo</w:t>
            </w:r>
            <w:r w:rsidRPr="00803041">
              <w:rPr>
                <w:sz w:val="20"/>
                <w:szCs w:val="20"/>
              </w:rPr>
              <w:t xml:space="preserve">r integrates </w:t>
            </w:r>
            <w:r w:rsidRPr="00B8036F">
              <w:rPr>
                <w:sz w:val="20"/>
                <w:szCs w:val="20"/>
              </w:rPr>
              <w:t xml:space="preserve">the community </w:t>
            </w:r>
            <w:r>
              <w:rPr>
                <w:sz w:val="20"/>
                <w:szCs w:val="20"/>
              </w:rPr>
              <w:t xml:space="preserve">activities </w:t>
            </w:r>
            <w:r w:rsidRPr="00B8036F">
              <w:rPr>
                <w:sz w:val="20"/>
                <w:szCs w:val="20"/>
              </w:rPr>
              <w:t>and relevant social issue(s) as critical dime</w:t>
            </w:r>
            <w:r>
              <w:rPr>
                <w:sz w:val="20"/>
                <w:szCs w:val="20"/>
              </w:rPr>
              <w:t xml:space="preserve">nsions for student understanding of academic </w:t>
            </w:r>
            <w:r w:rsidRPr="00B8036F">
              <w:rPr>
                <w:sz w:val="20"/>
                <w:szCs w:val="20"/>
              </w:rPr>
              <w:t xml:space="preserve">content and </w:t>
            </w:r>
            <w:r>
              <w:rPr>
                <w:sz w:val="20"/>
                <w:szCs w:val="20"/>
              </w:rPr>
              <w:t>ability to complete</w:t>
            </w:r>
            <w:r w:rsidRPr="00B8036F">
              <w:rPr>
                <w:sz w:val="20"/>
                <w:szCs w:val="20"/>
              </w:rPr>
              <w:t xml:space="preserve"> assignments</w:t>
            </w:r>
            <w:r>
              <w:rPr>
                <w:sz w:val="20"/>
                <w:szCs w:val="20"/>
              </w:rPr>
              <w:t>. The syllabus provides a strong rationale for the relationship of the community activities to learning outcomes</w:t>
            </w:r>
            <w:r w:rsidRPr="00B8036F">
              <w:rPr>
                <w:sz w:val="20"/>
                <w:szCs w:val="20"/>
              </w:rPr>
              <w:t>.</w:t>
            </w:r>
          </w:p>
        </w:tc>
      </w:tr>
      <w:tr w:rsidR="00BA0751" w:rsidRPr="00816EEC" w:rsidTr="00EC2067">
        <w:trPr>
          <w:trHeight w:val="1187"/>
        </w:trPr>
        <w:tc>
          <w:tcPr>
            <w:tcW w:w="3528" w:type="dxa"/>
          </w:tcPr>
          <w:p w:rsidR="00BA0751" w:rsidRPr="0065089A" w:rsidRDefault="00BA0751" w:rsidP="00BA0751">
            <w:pPr>
              <w:spacing w:line="240" w:lineRule="auto"/>
              <w:rPr>
                <w:b/>
                <w:sz w:val="20"/>
                <w:szCs w:val="20"/>
              </w:rPr>
            </w:pPr>
            <w:r>
              <w:rPr>
                <w:b/>
                <w:sz w:val="20"/>
                <w:szCs w:val="20"/>
              </w:rPr>
              <w:t>3) Civic competencies (i.e., knowledge, skills, disposition, behavior) a</w:t>
            </w:r>
            <w:r w:rsidRPr="0065089A">
              <w:rPr>
                <w:b/>
                <w:sz w:val="20"/>
                <w:szCs w:val="20"/>
              </w:rPr>
              <w:t xml:space="preserve">re well </w:t>
            </w:r>
            <w:r>
              <w:rPr>
                <w:b/>
                <w:sz w:val="20"/>
                <w:szCs w:val="20"/>
              </w:rPr>
              <w:t>integrated into student learning</w:t>
            </w:r>
            <w:r w:rsidRPr="0065089A">
              <w:rPr>
                <w:b/>
                <w:sz w:val="20"/>
                <w:szCs w:val="20"/>
              </w:rPr>
              <w:t>.</w:t>
            </w:r>
          </w:p>
          <w:p w:rsidR="00BA0751" w:rsidRDefault="00BA0751" w:rsidP="00BA0751">
            <w:pPr>
              <w:spacing w:line="240" w:lineRule="auto"/>
              <w:rPr>
                <w:i/>
                <w:sz w:val="20"/>
                <w:szCs w:val="20"/>
              </w:rPr>
            </w:pPr>
          </w:p>
          <w:p w:rsidR="00BA0751" w:rsidRDefault="00BA0751" w:rsidP="00BA0751">
            <w:pPr>
              <w:spacing w:line="240" w:lineRule="auto"/>
              <w:rPr>
                <w:b/>
                <w:sz w:val="20"/>
                <w:szCs w:val="20"/>
              </w:rPr>
            </w:pPr>
          </w:p>
        </w:tc>
        <w:tc>
          <w:tcPr>
            <w:tcW w:w="3420" w:type="dxa"/>
          </w:tcPr>
          <w:p w:rsidR="00BA0751" w:rsidRPr="00BA0751" w:rsidRDefault="00BA0751" w:rsidP="00BA0751">
            <w:pPr>
              <w:spacing w:line="240" w:lineRule="auto"/>
              <w:rPr>
                <w:sz w:val="20"/>
                <w:szCs w:val="20"/>
              </w:rPr>
            </w:pPr>
            <w:r w:rsidRPr="00BA0751">
              <w:rPr>
                <w:sz w:val="20"/>
                <w:szCs w:val="20"/>
              </w:rPr>
              <w:t>The instructor focuses on discipline-based content with little attention/priority given to civic learning or development of civic competencies.</w:t>
            </w:r>
          </w:p>
        </w:tc>
        <w:tc>
          <w:tcPr>
            <w:tcW w:w="3870" w:type="dxa"/>
          </w:tcPr>
          <w:p w:rsidR="00BA0751" w:rsidRPr="00BA0751" w:rsidRDefault="00BA0751" w:rsidP="00BA0751">
            <w:pPr>
              <w:spacing w:line="240" w:lineRule="auto"/>
              <w:rPr>
                <w:sz w:val="20"/>
                <w:szCs w:val="20"/>
              </w:rPr>
            </w:pPr>
            <w:r w:rsidRPr="00BA0751">
              <w:rPr>
                <w:sz w:val="20"/>
                <w:szCs w:val="20"/>
              </w:rPr>
              <w:t>The instructor focuses on discipline-based content and connects to civic learning and civic competencies when relevant to the community activities.</w:t>
            </w:r>
          </w:p>
        </w:tc>
        <w:tc>
          <w:tcPr>
            <w:tcW w:w="4140" w:type="dxa"/>
          </w:tcPr>
          <w:p w:rsidR="00BA0751" w:rsidRPr="00BA0751" w:rsidRDefault="00BA0751" w:rsidP="00BA0751">
            <w:pPr>
              <w:spacing w:line="240" w:lineRule="auto"/>
              <w:rPr>
                <w:sz w:val="20"/>
                <w:szCs w:val="20"/>
              </w:rPr>
            </w:pPr>
            <w:r w:rsidRPr="00BA0751">
              <w:rPr>
                <w:sz w:val="20"/>
                <w:szCs w:val="20"/>
              </w:rPr>
              <w:t>The instructor focuses on the integration of discipline-based content with civic learning and civic competencies and emphasizes the relevance of the community activities to the public purposes of the discipline in society.</w:t>
            </w:r>
          </w:p>
        </w:tc>
      </w:tr>
      <w:tr w:rsidR="00BA0751" w:rsidRPr="00816EEC" w:rsidTr="00EC2067">
        <w:tc>
          <w:tcPr>
            <w:tcW w:w="3528" w:type="dxa"/>
          </w:tcPr>
          <w:p w:rsidR="00BA0751" w:rsidRPr="003548E8" w:rsidRDefault="00BA0751" w:rsidP="00BA0751">
            <w:pPr>
              <w:spacing w:line="240" w:lineRule="auto"/>
              <w:rPr>
                <w:b/>
                <w:sz w:val="20"/>
                <w:szCs w:val="20"/>
              </w:rPr>
            </w:pPr>
            <w:r>
              <w:rPr>
                <w:b/>
                <w:sz w:val="20"/>
                <w:szCs w:val="20"/>
              </w:rPr>
              <w:t xml:space="preserve">4) </w:t>
            </w:r>
            <w:r w:rsidRPr="003548E8">
              <w:rPr>
                <w:b/>
                <w:sz w:val="20"/>
                <w:szCs w:val="20"/>
              </w:rPr>
              <w:t>Diversity of interactions and dia</w:t>
            </w:r>
            <w:r>
              <w:rPr>
                <w:b/>
                <w:sz w:val="20"/>
                <w:szCs w:val="20"/>
              </w:rPr>
              <w:t>logue with others across differe</w:t>
            </w:r>
            <w:r w:rsidRPr="003548E8">
              <w:rPr>
                <w:b/>
                <w:sz w:val="20"/>
                <w:szCs w:val="20"/>
              </w:rPr>
              <w:t>nce</w:t>
            </w:r>
            <w:r w:rsidR="001101AA">
              <w:rPr>
                <w:b/>
                <w:sz w:val="20"/>
                <w:szCs w:val="20"/>
              </w:rPr>
              <w:t xml:space="preserve"> occurs regularly in the course</w:t>
            </w:r>
            <w:r w:rsidRPr="003548E8">
              <w:rPr>
                <w:b/>
                <w:sz w:val="20"/>
                <w:szCs w:val="20"/>
              </w:rPr>
              <w:t>.</w:t>
            </w:r>
          </w:p>
        </w:tc>
        <w:tc>
          <w:tcPr>
            <w:tcW w:w="3420" w:type="dxa"/>
          </w:tcPr>
          <w:p w:rsidR="00BA0751" w:rsidRPr="00BA0751" w:rsidRDefault="00BA0751" w:rsidP="00BA0751">
            <w:pPr>
              <w:spacing w:line="240" w:lineRule="auto"/>
              <w:rPr>
                <w:sz w:val="20"/>
                <w:szCs w:val="20"/>
              </w:rPr>
            </w:pPr>
            <w:r w:rsidRPr="00BA0751">
              <w:rPr>
                <w:sz w:val="20"/>
                <w:szCs w:val="20"/>
              </w:rPr>
              <w:t xml:space="preserve">The instructor and the course and community activities offer students limited opportunities for interaction and dialogue with others across difference. </w:t>
            </w:r>
          </w:p>
        </w:tc>
        <w:tc>
          <w:tcPr>
            <w:tcW w:w="3870" w:type="dxa"/>
          </w:tcPr>
          <w:p w:rsidR="00BA0751" w:rsidRPr="00BA0751" w:rsidRDefault="00BA0751" w:rsidP="00BA0751">
            <w:pPr>
              <w:spacing w:line="240" w:lineRule="auto"/>
              <w:rPr>
                <w:sz w:val="20"/>
                <w:szCs w:val="20"/>
              </w:rPr>
            </w:pPr>
            <w:r w:rsidRPr="00BA0751">
              <w:rPr>
                <w:sz w:val="20"/>
                <w:szCs w:val="20"/>
              </w:rPr>
              <w:t>The instructor and the course and community activities engage students in periodic interactions and dialogue with peers across a range of experiences and diverse perspectives.</w:t>
            </w:r>
          </w:p>
        </w:tc>
        <w:tc>
          <w:tcPr>
            <w:tcW w:w="4140" w:type="dxa"/>
          </w:tcPr>
          <w:p w:rsidR="00BA0751" w:rsidRPr="00BA0751" w:rsidRDefault="00BA0751" w:rsidP="00BA0751">
            <w:pPr>
              <w:spacing w:line="240" w:lineRule="auto"/>
              <w:rPr>
                <w:sz w:val="20"/>
                <w:szCs w:val="20"/>
              </w:rPr>
            </w:pPr>
            <w:r w:rsidRPr="00BA0751">
              <w:rPr>
                <w:sz w:val="20"/>
                <w:szCs w:val="20"/>
              </w:rPr>
              <w:t>The instructor and community partner(s) engage students in frequent interactions and dialogue with peers and community members across a range of experiences and diverse perspectives.</w:t>
            </w:r>
          </w:p>
        </w:tc>
      </w:tr>
      <w:tr w:rsidR="00BA0751" w:rsidRPr="00816EEC" w:rsidTr="00EC2067">
        <w:tc>
          <w:tcPr>
            <w:tcW w:w="3528" w:type="dxa"/>
          </w:tcPr>
          <w:p w:rsidR="00BA0751" w:rsidRPr="00E942AB" w:rsidRDefault="00BA0751" w:rsidP="00BA0751">
            <w:pPr>
              <w:spacing w:line="240" w:lineRule="auto"/>
              <w:rPr>
                <w:b/>
                <w:sz w:val="20"/>
                <w:szCs w:val="20"/>
              </w:rPr>
            </w:pPr>
            <w:r>
              <w:rPr>
                <w:b/>
                <w:sz w:val="20"/>
                <w:szCs w:val="20"/>
              </w:rPr>
              <w:t xml:space="preserve">5) </w:t>
            </w:r>
            <w:r w:rsidRPr="00E942AB">
              <w:rPr>
                <w:b/>
                <w:sz w:val="20"/>
                <w:szCs w:val="20"/>
              </w:rPr>
              <w:t>Critical reflection is we</w:t>
            </w:r>
            <w:r>
              <w:rPr>
                <w:b/>
                <w:sz w:val="20"/>
                <w:szCs w:val="20"/>
              </w:rPr>
              <w:t>ll integrated into student learning</w:t>
            </w:r>
            <w:r w:rsidR="001101AA">
              <w:rPr>
                <w:b/>
                <w:sz w:val="20"/>
                <w:szCs w:val="20"/>
              </w:rPr>
              <w:t>.</w:t>
            </w:r>
          </w:p>
          <w:p w:rsidR="00BA0751" w:rsidRPr="007B71AE" w:rsidRDefault="00BA0751" w:rsidP="00BA0751">
            <w:pPr>
              <w:spacing w:line="240" w:lineRule="auto"/>
              <w:rPr>
                <w:i/>
                <w:sz w:val="20"/>
                <w:szCs w:val="20"/>
              </w:rPr>
            </w:pPr>
          </w:p>
        </w:tc>
        <w:tc>
          <w:tcPr>
            <w:tcW w:w="3420" w:type="dxa"/>
          </w:tcPr>
          <w:p w:rsidR="00BA0751" w:rsidRPr="00BA0751" w:rsidRDefault="00BA0751" w:rsidP="00BA0751">
            <w:pPr>
              <w:spacing w:line="240" w:lineRule="auto"/>
              <w:rPr>
                <w:sz w:val="20"/>
                <w:szCs w:val="20"/>
              </w:rPr>
            </w:pPr>
            <w:r w:rsidRPr="00BA0751">
              <w:rPr>
                <w:sz w:val="20"/>
                <w:szCs w:val="20"/>
              </w:rPr>
              <w:t>The instructor asks students, on a limited basis, to create reflective products about the community activities, usually at the end of the semester.</w:t>
            </w:r>
          </w:p>
        </w:tc>
        <w:tc>
          <w:tcPr>
            <w:tcW w:w="3870" w:type="dxa"/>
          </w:tcPr>
          <w:p w:rsidR="00BA0751" w:rsidRPr="00BA0751" w:rsidRDefault="00BA0751" w:rsidP="00BA0751">
            <w:pPr>
              <w:spacing w:line="240" w:lineRule="auto"/>
              <w:rPr>
                <w:sz w:val="20"/>
                <w:szCs w:val="20"/>
              </w:rPr>
            </w:pPr>
            <w:r w:rsidRPr="00BA0751">
              <w:rPr>
                <w:sz w:val="20"/>
                <w:szCs w:val="20"/>
              </w:rPr>
              <w:t>The instructor structures reflection</w:t>
            </w:r>
            <w:r w:rsidRPr="00BA0751">
              <w:rPr>
                <w:b/>
                <w:sz w:val="20"/>
                <w:szCs w:val="20"/>
              </w:rPr>
              <w:t xml:space="preserve"> </w:t>
            </w:r>
            <w:r w:rsidRPr="00BA0751">
              <w:rPr>
                <w:sz w:val="20"/>
                <w:szCs w:val="20"/>
              </w:rPr>
              <w:t xml:space="preserve">activities and products about the community activities that connect the experience to academic content, require moderate analysis, lead to new action, and provide ongoing feedback to the student throughout the semester. </w:t>
            </w:r>
          </w:p>
        </w:tc>
        <w:tc>
          <w:tcPr>
            <w:tcW w:w="4140" w:type="dxa"/>
          </w:tcPr>
          <w:p w:rsidR="00BA0751" w:rsidRPr="00BA0751" w:rsidRDefault="00BA0751" w:rsidP="00BA0751">
            <w:pPr>
              <w:spacing w:line="240" w:lineRule="auto"/>
              <w:rPr>
                <w:sz w:val="20"/>
                <w:szCs w:val="20"/>
              </w:rPr>
            </w:pPr>
            <w:r w:rsidRPr="00BA0751">
              <w:rPr>
                <w:sz w:val="20"/>
                <w:szCs w:val="20"/>
              </w:rPr>
              <w:t xml:space="preserve">The instructor builds student capacity to critically reflect and develop products that explore the relevance of the experience to academic content, use critical thinking to analyze social issues, recognize systems of power, lead to new action, and provide ongoing feedback to the student throughout the semester. </w:t>
            </w:r>
          </w:p>
        </w:tc>
      </w:tr>
      <w:tr w:rsidR="00BA0751" w:rsidRPr="00816EEC" w:rsidTr="00EC2067">
        <w:trPr>
          <w:trHeight w:val="620"/>
        </w:trPr>
        <w:tc>
          <w:tcPr>
            <w:tcW w:w="3528" w:type="dxa"/>
          </w:tcPr>
          <w:p w:rsidR="00BA0751" w:rsidRPr="007B094C" w:rsidRDefault="00BA0751" w:rsidP="00BA0751">
            <w:pPr>
              <w:spacing w:line="240" w:lineRule="auto"/>
              <w:rPr>
                <w:b/>
                <w:sz w:val="20"/>
                <w:szCs w:val="20"/>
              </w:rPr>
            </w:pPr>
            <w:r w:rsidRPr="007B094C">
              <w:rPr>
                <w:b/>
                <w:sz w:val="20"/>
                <w:szCs w:val="20"/>
              </w:rPr>
              <w:t>6) Assessment</w:t>
            </w:r>
            <w:r>
              <w:rPr>
                <w:b/>
                <w:sz w:val="20"/>
                <w:szCs w:val="20"/>
              </w:rPr>
              <w:t xml:space="preserve"> is used for course improvement.</w:t>
            </w:r>
          </w:p>
        </w:tc>
        <w:tc>
          <w:tcPr>
            <w:tcW w:w="3420" w:type="dxa"/>
          </w:tcPr>
          <w:p w:rsidR="00BA0751" w:rsidRPr="00BA0751" w:rsidRDefault="00BA0751" w:rsidP="001101AA">
            <w:pPr>
              <w:spacing w:line="240" w:lineRule="auto"/>
              <w:rPr>
                <w:sz w:val="20"/>
                <w:szCs w:val="20"/>
              </w:rPr>
            </w:pPr>
            <w:r w:rsidRPr="00BA0751">
              <w:rPr>
                <w:sz w:val="20"/>
                <w:szCs w:val="20"/>
              </w:rPr>
              <w:t>The instructor articulates student learning outcomes but no measurement tool is in place for</w:t>
            </w:r>
            <w:r w:rsidR="001101AA">
              <w:rPr>
                <w:sz w:val="20"/>
                <w:szCs w:val="20"/>
              </w:rPr>
              <w:t xml:space="preserve"> assessing the service learning component of the course.</w:t>
            </w:r>
          </w:p>
        </w:tc>
        <w:tc>
          <w:tcPr>
            <w:tcW w:w="3870" w:type="dxa"/>
          </w:tcPr>
          <w:p w:rsidR="00BA0751" w:rsidRPr="00BA0751" w:rsidRDefault="00BA0751" w:rsidP="00BA0751">
            <w:pPr>
              <w:spacing w:line="240" w:lineRule="auto"/>
              <w:rPr>
                <w:sz w:val="20"/>
                <w:szCs w:val="20"/>
              </w:rPr>
            </w:pPr>
            <w:r w:rsidRPr="00BA0751">
              <w:rPr>
                <w:sz w:val="20"/>
                <w:szCs w:val="20"/>
              </w:rPr>
              <w:t>The instructor articulate</w:t>
            </w:r>
            <w:r w:rsidR="001101AA">
              <w:rPr>
                <w:sz w:val="20"/>
                <w:szCs w:val="20"/>
              </w:rPr>
              <w:t>s student learning outcomes and uses a measurement tool to assess the service learning component of the course</w:t>
            </w:r>
            <w:r w:rsidRPr="00BA0751">
              <w:rPr>
                <w:sz w:val="20"/>
                <w:szCs w:val="20"/>
              </w:rPr>
              <w:t>.</w:t>
            </w:r>
          </w:p>
        </w:tc>
        <w:tc>
          <w:tcPr>
            <w:tcW w:w="4140" w:type="dxa"/>
          </w:tcPr>
          <w:p w:rsidR="00BA0751" w:rsidRPr="00BA0751" w:rsidRDefault="00BA0751" w:rsidP="004B666F">
            <w:pPr>
              <w:spacing w:line="240" w:lineRule="auto"/>
              <w:rPr>
                <w:sz w:val="20"/>
                <w:szCs w:val="20"/>
              </w:rPr>
            </w:pPr>
            <w:r w:rsidRPr="00BA0751">
              <w:rPr>
                <w:sz w:val="20"/>
                <w:szCs w:val="20"/>
              </w:rPr>
              <w:t xml:space="preserve">The instructor and community partner(s) articulate student learning outcomes, </w:t>
            </w:r>
            <w:r w:rsidR="001101AA">
              <w:rPr>
                <w:sz w:val="20"/>
                <w:szCs w:val="20"/>
              </w:rPr>
              <w:t>and use measurement tools to assess the service learning component</w:t>
            </w:r>
            <w:r w:rsidR="004B666F">
              <w:rPr>
                <w:sz w:val="20"/>
                <w:szCs w:val="20"/>
              </w:rPr>
              <w:t xml:space="preserve"> of the course and </w:t>
            </w:r>
            <w:r w:rsidR="001101AA">
              <w:rPr>
                <w:sz w:val="20"/>
                <w:szCs w:val="20"/>
              </w:rPr>
              <w:t xml:space="preserve">impact of </w:t>
            </w:r>
            <w:r w:rsidRPr="00BA0751">
              <w:rPr>
                <w:sz w:val="20"/>
                <w:szCs w:val="20"/>
              </w:rPr>
              <w:t>the community activities</w:t>
            </w:r>
            <w:r w:rsidR="001101AA">
              <w:rPr>
                <w:sz w:val="20"/>
                <w:szCs w:val="20"/>
              </w:rPr>
              <w:t>.</w:t>
            </w:r>
          </w:p>
        </w:tc>
      </w:tr>
    </w:tbl>
    <w:p w:rsidR="00842CED" w:rsidRDefault="00842CED"/>
    <w:p w:rsidR="00842CED" w:rsidRDefault="00842CED">
      <w:pPr>
        <w:spacing w:line="259" w:lineRule="auto"/>
      </w:pPr>
      <w:r>
        <w:br w:type="page"/>
      </w:r>
    </w:p>
    <w:p w:rsidR="00842CED" w:rsidRPr="0055045B" w:rsidRDefault="00842CED" w:rsidP="00842CED">
      <w:pPr>
        <w:jc w:val="center"/>
        <w:rPr>
          <w:b/>
          <w:sz w:val="22"/>
          <w:szCs w:val="22"/>
        </w:rPr>
      </w:pPr>
      <w:r w:rsidRPr="0055045B">
        <w:rPr>
          <w:b/>
          <w:sz w:val="22"/>
          <w:szCs w:val="22"/>
        </w:rPr>
        <w:lastRenderedPageBreak/>
        <w:t>References</w:t>
      </w:r>
    </w:p>
    <w:p w:rsidR="00842CED" w:rsidRPr="0055045B" w:rsidRDefault="00842CED" w:rsidP="00842CED">
      <w:pPr>
        <w:spacing w:after="0" w:line="240" w:lineRule="auto"/>
        <w:rPr>
          <w:sz w:val="22"/>
          <w:szCs w:val="22"/>
        </w:rPr>
      </w:pPr>
      <w:r w:rsidRPr="0055045B">
        <w:rPr>
          <w:sz w:val="22"/>
          <w:szCs w:val="22"/>
        </w:rPr>
        <w:t xml:space="preserve">Bradley, B. (1995). America's challenge. Revitalizing our national community.  </w:t>
      </w:r>
      <w:r w:rsidRPr="0055045B">
        <w:rPr>
          <w:i/>
          <w:iCs/>
          <w:sz w:val="22"/>
          <w:szCs w:val="22"/>
        </w:rPr>
        <w:t>National Civic Review</w:t>
      </w:r>
      <w:r w:rsidRPr="0055045B">
        <w:rPr>
          <w:sz w:val="22"/>
          <w:szCs w:val="22"/>
        </w:rPr>
        <w:t xml:space="preserve">, </w:t>
      </w:r>
      <w:r w:rsidRPr="0055045B">
        <w:rPr>
          <w:i/>
          <w:iCs/>
          <w:sz w:val="22"/>
          <w:szCs w:val="22"/>
        </w:rPr>
        <w:t>84</w:t>
      </w:r>
      <w:r w:rsidRPr="0055045B">
        <w:rPr>
          <w:sz w:val="22"/>
          <w:szCs w:val="22"/>
        </w:rPr>
        <w:t>(2), 94-100.</w:t>
      </w:r>
    </w:p>
    <w:p w:rsidR="00842CED" w:rsidRPr="0055045B" w:rsidRDefault="00842CED" w:rsidP="00842CED">
      <w:pPr>
        <w:spacing w:after="0" w:line="240" w:lineRule="auto"/>
        <w:rPr>
          <w:sz w:val="22"/>
          <w:szCs w:val="22"/>
        </w:rPr>
      </w:pPr>
    </w:p>
    <w:p w:rsidR="00842CED" w:rsidRPr="0055045B" w:rsidRDefault="00842CED" w:rsidP="00842CED">
      <w:pPr>
        <w:spacing w:after="0" w:line="240" w:lineRule="auto"/>
        <w:ind w:left="720" w:hanging="720"/>
        <w:rPr>
          <w:sz w:val="22"/>
          <w:szCs w:val="22"/>
        </w:rPr>
      </w:pPr>
      <w:r w:rsidRPr="0055045B">
        <w:rPr>
          <w:sz w:val="22"/>
          <w:szCs w:val="22"/>
        </w:rPr>
        <w:t xml:space="preserve">Bringle, R. G. &amp; Hatcher, J. A. (2009).  Innovative practices in service-learning and curricular engagement. In Sandmann, L. R., Thornton, C. H., &amp; Jaeger, A. J. (Eds.), </w:t>
      </w:r>
      <w:r w:rsidRPr="0055045B">
        <w:rPr>
          <w:i/>
          <w:sz w:val="22"/>
          <w:szCs w:val="22"/>
        </w:rPr>
        <w:t xml:space="preserve">Institutionalizing community engagement in higher education: The first wave of Carnegie classified institutions. New Directions for Higher Education </w:t>
      </w:r>
      <w:r w:rsidRPr="0055045B">
        <w:rPr>
          <w:sz w:val="22"/>
          <w:szCs w:val="22"/>
        </w:rPr>
        <w:t>(pp. 37-46). San Francisco: Jossey-Bass/Wiley Publishing.</w:t>
      </w:r>
    </w:p>
    <w:p w:rsidR="00842CED" w:rsidRPr="0055045B" w:rsidRDefault="00842CED" w:rsidP="00842CED">
      <w:pPr>
        <w:spacing w:after="0" w:line="240" w:lineRule="auto"/>
        <w:ind w:left="720" w:hanging="720"/>
        <w:rPr>
          <w:sz w:val="22"/>
          <w:szCs w:val="22"/>
        </w:rPr>
      </w:pPr>
    </w:p>
    <w:p w:rsidR="00842CED" w:rsidRPr="0055045B" w:rsidRDefault="00842CED" w:rsidP="00842CED">
      <w:pPr>
        <w:spacing w:after="0" w:line="240" w:lineRule="auto"/>
        <w:ind w:left="720" w:hanging="720"/>
        <w:rPr>
          <w:sz w:val="22"/>
          <w:szCs w:val="22"/>
        </w:rPr>
      </w:pPr>
      <w:r w:rsidRPr="0055045B">
        <w:rPr>
          <w:sz w:val="22"/>
          <w:szCs w:val="22"/>
        </w:rPr>
        <w:t xml:space="preserve">Bringle, R. G., &amp; Clayton, P. H. (2012). Civic education through service-learning: What, how, and why? In L. </w:t>
      </w:r>
      <w:proofErr w:type="spellStart"/>
      <w:r w:rsidRPr="0055045B">
        <w:rPr>
          <w:sz w:val="22"/>
          <w:szCs w:val="22"/>
        </w:rPr>
        <w:t>McIlraith</w:t>
      </w:r>
      <w:proofErr w:type="spellEnd"/>
      <w:r w:rsidRPr="0055045B">
        <w:rPr>
          <w:sz w:val="22"/>
          <w:szCs w:val="22"/>
        </w:rPr>
        <w:t xml:space="preserve">, A. Lyons, &amp; R. </w:t>
      </w:r>
      <w:proofErr w:type="spellStart"/>
      <w:r w:rsidRPr="0055045B">
        <w:rPr>
          <w:sz w:val="22"/>
          <w:szCs w:val="22"/>
        </w:rPr>
        <w:t>Munck</w:t>
      </w:r>
      <w:proofErr w:type="spellEnd"/>
      <w:r w:rsidRPr="0055045B">
        <w:rPr>
          <w:sz w:val="22"/>
          <w:szCs w:val="22"/>
        </w:rPr>
        <w:t xml:space="preserve"> (</w:t>
      </w:r>
      <w:proofErr w:type="spellStart"/>
      <w:r w:rsidRPr="0055045B">
        <w:rPr>
          <w:sz w:val="22"/>
          <w:szCs w:val="22"/>
        </w:rPr>
        <w:t>Eds</w:t>
      </w:r>
      <w:proofErr w:type="spellEnd"/>
      <w:r w:rsidRPr="0055045B">
        <w:rPr>
          <w:sz w:val="22"/>
          <w:szCs w:val="22"/>
        </w:rPr>
        <w:t xml:space="preserve">). </w:t>
      </w:r>
      <w:r w:rsidRPr="0055045B">
        <w:rPr>
          <w:i/>
          <w:sz w:val="22"/>
          <w:szCs w:val="22"/>
        </w:rPr>
        <w:t>Higher education and civic engagement: Comparative perspectives</w:t>
      </w:r>
      <w:r w:rsidRPr="0055045B">
        <w:rPr>
          <w:sz w:val="22"/>
          <w:szCs w:val="22"/>
        </w:rPr>
        <w:t xml:space="preserve"> (pp. 101-124). New York: Palgrave Macmillan.</w:t>
      </w:r>
    </w:p>
    <w:p w:rsidR="00842CED" w:rsidRPr="0055045B" w:rsidRDefault="00842CED" w:rsidP="00842CED">
      <w:pPr>
        <w:spacing w:after="0" w:line="240" w:lineRule="auto"/>
        <w:ind w:left="720" w:hanging="720"/>
        <w:rPr>
          <w:sz w:val="22"/>
          <w:szCs w:val="22"/>
        </w:rPr>
      </w:pPr>
    </w:p>
    <w:p w:rsidR="00842CED" w:rsidRPr="0055045B" w:rsidRDefault="00842CED" w:rsidP="00842CED">
      <w:pPr>
        <w:spacing w:after="0" w:line="240" w:lineRule="auto"/>
        <w:ind w:left="720" w:hanging="720"/>
        <w:rPr>
          <w:sz w:val="22"/>
          <w:szCs w:val="22"/>
        </w:rPr>
      </w:pPr>
      <w:r w:rsidRPr="0055045B">
        <w:rPr>
          <w:sz w:val="22"/>
          <w:szCs w:val="22"/>
        </w:rPr>
        <w:t xml:space="preserve">Bringle, R. G., Clayton, P., &amp; Bringle, K. E. (2015). From teaching democratic thinking to developing democratic civic identity. </w:t>
      </w:r>
      <w:r w:rsidRPr="0055045B">
        <w:rPr>
          <w:i/>
          <w:iCs/>
          <w:sz w:val="22"/>
          <w:szCs w:val="22"/>
        </w:rPr>
        <w:t>Partnerships: A Journal of Service-Learning and Civic Engagement</w:t>
      </w:r>
      <w:r w:rsidRPr="0055045B">
        <w:rPr>
          <w:sz w:val="22"/>
          <w:szCs w:val="22"/>
        </w:rPr>
        <w:t xml:space="preserve">, </w:t>
      </w:r>
      <w:r w:rsidRPr="0055045B">
        <w:rPr>
          <w:i/>
          <w:iCs/>
          <w:sz w:val="22"/>
          <w:szCs w:val="22"/>
        </w:rPr>
        <w:t>6</w:t>
      </w:r>
      <w:r w:rsidRPr="0055045B">
        <w:rPr>
          <w:sz w:val="22"/>
          <w:szCs w:val="22"/>
        </w:rPr>
        <w:t>(1), 51-76.</w:t>
      </w:r>
    </w:p>
    <w:p w:rsidR="00842CED" w:rsidRPr="0055045B" w:rsidRDefault="00842CED" w:rsidP="00842CED">
      <w:pPr>
        <w:spacing w:after="0" w:line="240" w:lineRule="auto"/>
        <w:rPr>
          <w:sz w:val="22"/>
          <w:szCs w:val="22"/>
        </w:rPr>
      </w:pPr>
    </w:p>
    <w:p w:rsidR="00842CED" w:rsidRPr="0055045B" w:rsidRDefault="00842CED" w:rsidP="00842CED">
      <w:pPr>
        <w:spacing w:after="0" w:line="240" w:lineRule="auto"/>
        <w:ind w:left="720" w:hanging="720"/>
        <w:rPr>
          <w:sz w:val="22"/>
          <w:szCs w:val="22"/>
        </w:rPr>
      </w:pPr>
      <w:proofErr w:type="spellStart"/>
      <w:r w:rsidRPr="0055045B">
        <w:rPr>
          <w:sz w:val="22"/>
          <w:szCs w:val="22"/>
        </w:rPr>
        <w:t>Gazley</w:t>
      </w:r>
      <w:proofErr w:type="spellEnd"/>
      <w:r w:rsidRPr="0055045B">
        <w:rPr>
          <w:sz w:val="22"/>
          <w:szCs w:val="22"/>
        </w:rPr>
        <w:t xml:space="preserve">, B., Littlepage, L., &amp; Bennett, T. A. (2012). What about the host agency? Nonprofit perspectives on community-based student learning and volunteering. </w:t>
      </w:r>
      <w:r w:rsidRPr="0055045B">
        <w:rPr>
          <w:i/>
          <w:iCs/>
          <w:sz w:val="22"/>
          <w:szCs w:val="22"/>
        </w:rPr>
        <w:t>Nonprofit and Voluntary Sector Quarterly</w:t>
      </w:r>
      <w:r w:rsidRPr="0055045B">
        <w:rPr>
          <w:sz w:val="22"/>
          <w:szCs w:val="22"/>
        </w:rPr>
        <w:t xml:space="preserve">, </w:t>
      </w:r>
      <w:r w:rsidRPr="0055045B">
        <w:rPr>
          <w:i/>
          <w:iCs/>
          <w:sz w:val="22"/>
          <w:szCs w:val="22"/>
        </w:rPr>
        <w:t>41</w:t>
      </w:r>
      <w:r w:rsidRPr="0055045B">
        <w:rPr>
          <w:sz w:val="22"/>
          <w:szCs w:val="22"/>
        </w:rPr>
        <w:t>(6), 1029-1050.</w:t>
      </w:r>
    </w:p>
    <w:p w:rsidR="00842CED" w:rsidRPr="0055045B" w:rsidRDefault="00842CED" w:rsidP="00842CED">
      <w:pPr>
        <w:spacing w:after="0" w:line="240" w:lineRule="auto"/>
        <w:rPr>
          <w:sz w:val="22"/>
          <w:szCs w:val="22"/>
        </w:rPr>
      </w:pPr>
    </w:p>
    <w:p w:rsidR="00842CED" w:rsidRPr="0055045B" w:rsidRDefault="00842CED" w:rsidP="00842CED">
      <w:pPr>
        <w:spacing w:after="0" w:line="240" w:lineRule="auto"/>
        <w:ind w:left="720" w:hanging="720"/>
        <w:rPr>
          <w:sz w:val="22"/>
          <w:szCs w:val="22"/>
        </w:rPr>
      </w:pPr>
      <w:r w:rsidRPr="0055045B">
        <w:rPr>
          <w:sz w:val="22"/>
          <w:szCs w:val="22"/>
        </w:rPr>
        <w:t xml:space="preserve">Giles, D. E., &amp; Eyler, J. (2013). Review Essay: The endless quest for scholarly respectability in service-learning research. </w:t>
      </w:r>
      <w:r w:rsidRPr="0055045B">
        <w:rPr>
          <w:i/>
          <w:iCs/>
          <w:sz w:val="22"/>
          <w:szCs w:val="22"/>
        </w:rPr>
        <w:t>Michigan Journal of Community Service Learning</w:t>
      </w:r>
      <w:r w:rsidRPr="0055045B">
        <w:rPr>
          <w:sz w:val="22"/>
          <w:szCs w:val="22"/>
        </w:rPr>
        <w:t xml:space="preserve">, 20(1), 53-64. </w:t>
      </w:r>
    </w:p>
    <w:p w:rsidR="00842CED" w:rsidRPr="0055045B" w:rsidRDefault="00842CED" w:rsidP="00842CED">
      <w:pPr>
        <w:spacing w:after="0" w:line="240" w:lineRule="auto"/>
        <w:rPr>
          <w:sz w:val="22"/>
          <w:szCs w:val="22"/>
        </w:rPr>
      </w:pPr>
    </w:p>
    <w:p w:rsidR="00842CED" w:rsidRPr="0055045B" w:rsidRDefault="00842CED" w:rsidP="00842CED">
      <w:pPr>
        <w:spacing w:after="0" w:line="240" w:lineRule="auto"/>
        <w:rPr>
          <w:sz w:val="22"/>
          <w:szCs w:val="22"/>
        </w:rPr>
      </w:pPr>
      <w:r w:rsidRPr="0055045B">
        <w:rPr>
          <w:sz w:val="22"/>
          <w:szCs w:val="22"/>
        </w:rPr>
        <w:t xml:space="preserve">Jacoby, B. (2015). </w:t>
      </w:r>
      <w:r w:rsidRPr="0055045B">
        <w:rPr>
          <w:i/>
          <w:sz w:val="22"/>
          <w:szCs w:val="22"/>
        </w:rPr>
        <w:t xml:space="preserve">Service-learning essentials. </w:t>
      </w:r>
      <w:r w:rsidRPr="0055045B">
        <w:rPr>
          <w:sz w:val="22"/>
          <w:szCs w:val="22"/>
        </w:rPr>
        <w:t>San Francisco, CA: Jossey-Bass.</w:t>
      </w:r>
    </w:p>
    <w:p w:rsidR="0055045B" w:rsidRPr="0055045B" w:rsidRDefault="0055045B" w:rsidP="00842CED">
      <w:pPr>
        <w:spacing w:after="0" w:line="240" w:lineRule="auto"/>
        <w:rPr>
          <w:sz w:val="22"/>
          <w:szCs w:val="22"/>
        </w:rPr>
      </w:pPr>
    </w:p>
    <w:p w:rsidR="0055045B" w:rsidRPr="0055045B" w:rsidRDefault="0055045B" w:rsidP="0055045B">
      <w:pPr>
        <w:spacing w:after="0" w:line="240" w:lineRule="auto"/>
        <w:ind w:left="720" w:hanging="720"/>
        <w:rPr>
          <w:sz w:val="22"/>
          <w:szCs w:val="22"/>
        </w:rPr>
      </w:pPr>
      <w:r w:rsidRPr="0055045B">
        <w:rPr>
          <w:sz w:val="22"/>
          <w:szCs w:val="22"/>
        </w:rPr>
        <w:t xml:space="preserve">Hahn, T. W., &amp; Hatcher, J. A. (2015, September 30). </w:t>
      </w:r>
      <w:r w:rsidRPr="0055045B">
        <w:rPr>
          <w:i/>
          <w:sz w:val="22"/>
          <w:szCs w:val="22"/>
        </w:rPr>
        <w:t>What about service-learning matters? Using a taxonomy to identify variables to improve research and practice</w:t>
      </w:r>
      <w:r w:rsidRPr="0055045B">
        <w:rPr>
          <w:sz w:val="22"/>
          <w:szCs w:val="22"/>
        </w:rPr>
        <w:t xml:space="preserve"> [Webinar]. In IARSLCE </w:t>
      </w:r>
      <w:r w:rsidRPr="0055045B">
        <w:rPr>
          <w:i/>
          <w:sz w:val="22"/>
          <w:szCs w:val="22"/>
        </w:rPr>
        <w:t>Webinar Series</w:t>
      </w:r>
      <w:r w:rsidRPr="0055045B">
        <w:rPr>
          <w:sz w:val="22"/>
          <w:szCs w:val="22"/>
        </w:rPr>
        <w:t>. Retrieved from https://www.youtube.com/watch?v=O3W27s3-XTw.</w:t>
      </w:r>
    </w:p>
    <w:p w:rsidR="00842CED" w:rsidRPr="0055045B" w:rsidRDefault="00842CED" w:rsidP="00842CED">
      <w:pPr>
        <w:spacing w:after="0" w:line="240" w:lineRule="auto"/>
        <w:rPr>
          <w:sz w:val="22"/>
          <w:szCs w:val="22"/>
        </w:rPr>
      </w:pPr>
    </w:p>
    <w:p w:rsidR="00842CED" w:rsidRPr="0055045B" w:rsidRDefault="00842CED" w:rsidP="00842CED">
      <w:pPr>
        <w:spacing w:after="0" w:line="240" w:lineRule="auto"/>
        <w:ind w:left="720" w:hanging="720"/>
        <w:rPr>
          <w:sz w:val="22"/>
          <w:szCs w:val="22"/>
        </w:rPr>
      </w:pPr>
      <w:r w:rsidRPr="0055045B">
        <w:rPr>
          <w:sz w:val="22"/>
          <w:szCs w:val="22"/>
        </w:rPr>
        <w:t xml:space="preserve">Mabry, J. B. (1998). Pedagogical variations in service-learning and student outcomes: How time, contact and reflection matter. </w:t>
      </w:r>
      <w:r w:rsidRPr="0055045B">
        <w:rPr>
          <w:i/>
          <w:sz w:val="22"/>
          <w:szCs w:val="22"/>
        </w:rPr>
        <w:t>Michigan Journal of Community Service Learning</w:t>
      </w:r>
      <w:r w:rsidRPr="0055045B">
        <w:rPr>
          <w:sz w:val="22"/>
          <w:szCs w:val="22"/>
        </w:rPr>
        <w:t>, 5, 32-47.</w:t>
      </w:r>
    </w:p>
    <w:p w:rsidR="00842CED" w:rsidRPr="0055045B" w:rsidRDefault="00842CED" w:rsidP="00842CED">
      <w:pPr>
        <w:spacing w:after="0" w:line="240" w:lineRule="auto"/>
        <w:ind w:left="720" w:hanging="720"/>
        <w:rPr>
          <w:sz w:val="22"/>
          <w:szCs w:val="22"/>
        </w:rPr>
      </w:pPr>
    </w:p>
    <w:p w:rsidR="00842CED" w:rsidRPr="0055045B" w:rsidRDefault="00842CED" w:rsidP="00842CED">
      <w:pPr>
        <w:spacing w:after="0" w:line="240" w:lineRule="auto"/>
        <w:ind w:left="720" w:hanging="720"/>
        <w:rPr>
          <w:sz w:val="22"/>
          <w:szCs w:val="22"/>
        </w:rPr>
      </w:pPr>
      <w:r w:rsidRPr="0055045B">
        <w:rPr>
          <w:sz w:val="22"/>
          <w:szCs w:val="22"/>
        </w:rPr>
        <w:t xml:space="preserve">Mitchell, T. D. (2015). Using a critical service-learning approach to facilitate civic identity development. </w:t>
      </w:r>
      <w:r w:rsidRPr="0055045B">
        <w:rPr>
          <w:i/>
          <w:sz w:val="22"/>
          <w:szCs w:val="22"/>
        </w:rPr>
        <w:t xml:space="preserve">Theory </w:t>
      </w:r>
      <w:proofErr w:type="gramStart"/>
      <w:r w:rsidRPr="0055045B">
        <w:rPr>
          <w:i/>
          <w:sz w:val="22"/>
          <w:szCs w:val="22"/>
        </w:rPr>
        <w:t>Into</w:t>
      </w:r>
      <w:proofErr w:type="gramEnd"/>
      <w:r w:rsidRPr="0055045B">
        <w:rPr>
          <w:i/>
          <w:sz w:val="22"/>
          <w:szCs w:val="22"/>
        </w:rPr>
        <w:t xml:space="preserve"> Practice. 54, </w:t>
      </w:r>
      <w:r w:rsidRPr="0055045B">
        <w:rPr>
          <w:sz w:val="22"/>
          <w:szCs w:val="22"/>
        </w:rPr>
        <w:t>20-28.</w:t>
      </w:r>
    </w:p>
    <w:p w:rsidR="00842CED" w:rsidRPr="0055045B" w:rsidRDefault="00842CED" w:rsidP="00842CED">
      <w:pPr>
        <w:spacing w:after="0" w:line="240" w:lineRule="auto"/>
        <w:ind w:left="720" w:hanging="720"/>
        <w:rPr>
          <w:sz w:val="22"/>
          <w:szCs w:val="22"/>
        </w:rPr>
      </w:pPr>
    </w:p>
    <w:p w:rsidR="00842CED" w:rsidRPr="0055045B" w:rsidRDefault="00842CED" w:rsidP="00842CED">
      <w:pPr>
        <w:spacing w:after="0" w:line="240" w:lineRule="auto"/>
        <w:ind w:left="720" w:hanging="720"/>
        <w:rPr>
          <w:sz w:val="22"/>
          <w:szCs w:val="22"/>
        </w:rPr>
      </w:pPr>
      <w:proofErr w:type="spellStart"/>
      <w:r w:rsidRPr="0055045B">
        <w:rPr>
          <w:sz w:val="22"/>
          <w:szCs w:val="22"/>
        </w:rPr>
        <w:t>Pigza</w:t>
      </w:r>
      <w:proofErr w:type="spellEnd"/>
      <w:r w:rsidRPr="0055045B">
        <w:rPr>
          <w:sz w:val="22"/>
          <w:szCs w:val="22"/>
        </w:rPr>
        <w:t xml:space="preserve">, J., &amp; </w:t>
      </w:r>
      <w:proofErr w:type="spellStart"/>
      <w:r w:rsidRPr="0055045B">
        <w:rPr>
          <w:sz w:val="22"/>
          <w:szCs w:val="22"/>
        </w:rPr>
        <w:t>Troppe</w:t>
      </w:r>
      <w:proofErr w:type="spellEnd"/>
      <w:r w:rsidRPr="0055045B">
        <w:rPr>
          <w:sz w:val="22"/>
          <w:szCs w:val="22"/>
        </w:rPr>
        <w:t xml:space="preserve">, M. (2003). Developing an infrastructure for service-learning and community engagement. In B. Jacoby &amp; Associates, </w:t>
      </w:r>
      <w:r w:rsidRPr="0055045B">
        <w:rPr>
          <w:i/>
          <w:sz w:val="22"/>
          <w:szCs w:val="22"/>
        </w:rPr>
        <w:t>Building partnerships for service- learning</w:t>
      </w:r>
      <w:r w:rsidRPr="0055045B">
        <w:rPr>
          <w:sz w:val="22"/>
          <w:szCs w:val="22"/>
        </w:rPr>
        <w:t xml:space="preserve"> (pp. 106-130). San Francisco: Jossey-Bass.</w:t>
      </w:r>
    </w:p>
    <w:p w:rsidR="00842CED" w:rsidRPr="0055045B" w:rsidRDefault="00842CED" w:rsidP="00842CED">
      <w:pPr>
        <w:spacing w:after="0" w:line="240" w:lineRule="auto"/>
        <w:ind w:left="720" w:hanging="720"/>
        <w:rPr>
          <w:sz w:val="22"/>
          <w:szCs w:val="22"/>
        </w:rPr>
      </w:pPr>
    </w:p>
    <w:p w:rsidR="00842CED" w:rsidRPr="0055045B" w:rsidRDefault="00842CED" w:rsidP="00842CED">
      <w:pPr>
        <w:spacing w:after="0" w:line="240" w:lineRule="auto"/>
        <w:ind w:left="720" w:hanging="720"/>
        <w:rPr>
          <w:sz w:val="22"/>
          <w:szCs w:val="22"/>
        </w:rPr>
      </w:pPr>
      <w:r w:rsidRPr="0055045B">
        <w:rPr>
          <w:sz w:val="22"/>
          <w:szCs w:val="22"/>
        </w:rPr>
        <w:t xml:space="preserve">Smith, M. B., </w:t>
      </w:r>
      <w:proofErr w:type="spellStart"/>
      <w:r w:rsidRPr="0055045B">
        <w:rPr>
          <w:sz w:val="22"/>
          <w:szCs w:val="22"/>
        </w:rPr>
        <w:t>Nowacek</w:t>
      </w:r>
      <w:proofErr w:type="spellEnd"/>
      <w:r w:rsidRPr="0055045B">
        <w:rPr>
          <w:sz w:val="22"/>
          <w:szCs w:val="22"/>
        </w:rPr>
        <w:t xml:space="preserve">, R. S., &amp; Bernstein, J. L. (Eds.). (2010). </w:t>
      </w:r>
      <w:r w:rsidRPr="0055045B">
        <w:rPr>
          <w:i/>
          <w:sz w:val="22"/>
          <w:szCs w:val="22"/>
        </w:rPr>
        <w:t>Citizenship across the curriculum</w:t>
      </w:r>
      <w:r w:rsidRPr="0055045B">
        <w:rPr>
          <w:sz w:val="22"/>
          <w:szCs w:val="22"/>
        </w:rPr>
        <w:t>. Bloomington, IN: Indiana University Press.</w:t>
      </w:r>
    </w:p>
    <w:p w:rsidR="00842CED" w:rsidRPr="0055045B" w:rsidRDefault="00842CED" w:rsidP="00842CED">
      <w:pPr>
        <w:spacing w:after="0" w:line="240" w:lineRule="auto"/>
        <w:ind w:left="720" w:hanging="720"/>
        <w:rPr>
          <w:sz w:val="22"/>
          <w:szCs w:val="22"/>
        </w:rPr>
      </w:pPr>
    </w:p>
    <w:p w:rsidR="00842CED" w:rsidRPr="0055045B" w:rsidRDefault="00842CED" w:rsidP="00842CED">
      <w:pPr>
        <w:spacing w:after="0" w:line="240" w:lineRule="auto"/>
        <w:ind w:left="720" w:hanging="720"/>
        <w:rPr>
          <w:sz w:val="22"/>
          <w:szCs w:val="22"/>
        </w:rPr>
      </w:pPr>
      <w:r w:rsidRPr="0055045B">
        <w:rPr>
          <w:sz w:val="22"/>
          <w:szCs w:val="22"/>
        </w:rPr>
        <w:t xml:space="preserve">Stokamer, S. T. (2011). Pedagogical catalysts of civic competence: The development of a critical epistemological model for community-based learning. </w:t>
      </w:r>
      <w:r w:rsidRPr="0055045B">
        <w:rPr>
          <w:i/>
          <w:sz w:val="22"/>
          <w:szCs w:val="22"/>
        </w:rPr>
        <w:t>Journal of Higher Education Outreach and Engagement, 17</w:t>
      </w:r>
      <w:r w:rsidRPr="0055045B">
        <w:rPr>
          <w:sz w:val="22"/>
          <w:szCs w:val="22"/>
        </w:rPr>
        <w:t>, 113-121.</w:t>
      </w:r>
    </w:p>
    <w:p w:rsidR="00AF3921" w:rsidRPr="0055045B" w:rsidRDefault="00AF3921" w:rsidP="00AF3921">
      <w:pPr>
        <w:pStyle w:val="ListParagraph"/>
        <w:spacing w:after="0"/>
        <w:ind w:hanging="720"/>
        <w:rPr>
          <w:rFonts w:ascii="Times New Roman" w:hAnsi="Times New Roman" w:cs="Times New Roman"/>
          <w:bCs/>
        </w:rPr>
      </w:pPr>
    </w:p>
    <w:p w:rsidR="00AF3921" w:rsidRPr="00AF3921" w:rsidRDefault="00AF3921" w:rsidP="00AF3921">
      <w:pPr>
        <w:pStyle w:val="ListParagraph"/>
        <w:spacing w:after="0"/>
        <w:ind w:hanging="720"/>
        <w:rPr>
          <w:rFonts w:ascii="Times New Roman" w:hAnsi="Times New Roman" w:cs="Times New Roman"/>
          <w:bCs/>
          <w:sz w:val="23"/>
          <w:szCs w:val="23"/>
        </w:rPr>
      </w:pPr>
      <w:r w:rsidRPr="0055045B">
        <w:rPr>
          <w:rFonts w:ascii="Times New Roman" w:hAnsi="Times New Roman" w:cs="Times New Roman"/>
          <w:bCs/>
        </w:rPr>
        <w:t xml:space="preserve">Terry, J. D., Smith, B. H., &amp; </w:t>
      </w:r>
      <w:proofErr w:type="spellStart"/>
      <w:r w:rsidRPr="0055045B">
        <w:rPr>
          <w:rFonts w:ascii="Times New Roman" w:hAnsi="Times New Roman" w:cs="Times New Roman"/>
          <w:bCs/>
        </w:rPr>
        <w:t>McQuilla</w:t>
      </w:r>
      <w:proofErr w:type="spellEnd"/>
      <w:r w:rsidRPr="0055045B">
        <w:rPr>
          <w:rFonts w:ascii="Times New Roman" w:hAnsi="Times New Roman" w:cs="Times New Roman"/>
          <w:bCs/>
        </w:rPr>
        <w:t xml:space="preserve">, J. D. (2014). Teaching evidence-based practice in service-learning: A model for education and service. </w:t>
      </w:r>
      <w:r w:rsidRPr="0055045B">
        <w:rPr>
          <w:rFonts w:ascii="Times New Roman" w:hAnsi="Times New Roman" w:cs="Times New Roman"/>
          <w:bCs/>
          <w:i/>
        </w:rPr>
        <w:t>Journal on Excellence in College Teaching</w:t>
      </w:r>
      <w:r w:rsidRPr="0055045B">
        <w:rPr>
          <w:rFonts w:ascii="Times New Roman" w:hAnsi="Times New Roman" w:cs="Times New Roman"/>
          <w:bCs/>
        </w:rPr>
        <w:t xml:space="preserve">, </w:t>
      </w:r>
      <w:r w:rsidRPr="0055045B">
        <w:rPr>
          <w:rFonts w:ascii="Times New Roman" w:hAnsi="Times New Roman" w:cs="Times New Roman"/>
          <w:bCs/>
          <w:i/>
        </w:rPr>
        <w:t>25</w:t>
      </w:r>
      <w:r w:rsidRPr="0055045B">
        <w:rPr>
          <w:rFonts w:ascii="Times New Roman" w:hAnsi="Times New Roman" w:cs="Times New Roman"/>
          <w:bCs/>
        </w:rPr>
        <w:t>(1), 55-69.</w:t>
      </w:r>
      <w:r w:rsidRPr="00AF3921">
        <w:rPr>
          <w:rFonts w:ascii="Times New Roman" w:hAnsi="Times New Roman" w:cs="Times New Roman"/>
          <w:bCs/>
          <w:sz w:val="23"/>
          <w:szCs w:val="23"/>
        </w:rPr>
        <w:t xml:space="preserve"> </w:t>
      </w:r>
    </w:p>
    <w:p w:rsidR="00AF3921" w:rsidRPr="00AF3921" w:rsidRDefault="00AF3921" w:rsidP="00842CED">
      <w:pPr>
        <w:spacing w:after="0" w:line="240" w:lineRule="auto"/>
        <w:ind w:left="720" w:hanging="720"/>
        <w:rPr>
          <w:sz w:val="23"/>
          <w:szCs w:val="23"/>
        </w:rPr>
      </w:pPr>
    </w:p>
    <w:sectPr w:rsidR="00AF3921" w:rsidRPr="00AF3921" w:rsidSect="00BA0751">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51"/>
    <w:rsid w:val="001101AA"/>
    <w:rsid w:val="00215D1B"/>
    <w:rsid w:val="00222B0C"/>
    <w:rsid w:val="004808F3"/>
    <w:rsid w:val="004B666F"/>
    <w:rsid w:val="0055045B"/>
    <w:rsid w:val="005606A1"/>
    <w:rsid w:val="005D7932"/>
    <w:rsid w:val="00842CED"/>
    <w:rsid w:val="008E687A"/>
    <w:rsid w:val="00A55678"/>
    <w:rsid w:val="00AF3921"/>
    <w:rsid w:val="00B01B49"/>
    <w:rsid w:val="00BA0751"/>
    <w:rsid w:val="00DA36CB"/>
    <w:rsid w:val="00DD2478"/>
    <w:rsid w:val="00E9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A3A46-EE56-4450-8CD3-BCEB6617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751"/>
    <w:pPr>
      <w:spacing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1935"/>
    <w:rPr>
      <w:sz w:val="16"/>
      <w:szCs w:val="16"/>
    </w:rPr>
  </w:style>
  <w:style w:type="paragraph" w:styleId="CommentText">
    <w:name w:val="annotation text"/>
    <w:basedOn w:val="Normal"/>
    <w:link w:val="CommentTextChar"/>
    <w:uiPriority w:val="99"/>
    <w:semiHidden/>
    <w:unhideWhenUsed/>
    <w:rsid w:val="00E91935"/>
    <w:pPr>
      <w:spacing w:line="240" w:lineRule="auto"/>
    </w:pPr>
    <w:rPr>
      <w:sz w:val="20"/>
      <w:szCs w:val="20"/>
    </w:rPr>
  </w:style>
  <w:style w:type="character" w:customStyle="1" w:styleId="CommentTextChar">
    <w:name w:val="Comment Text Char"/>
    <w:basedOn w:val="DefaultParagraphFont"/>
    <w:link w:val="CommentText"/>
    <w:uiPriority w:val="99"/>
    <w:semiHidden/>
    <w:rsid w:val="00E919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1935"/>
    <w:rPr>
      <w:b/>
      <w:bCs/>
    </w:rPr>
  </w:style>
  <w:style w:type="character" w:customStyle="1" w:styleId="CommentSubjectChar">
    <w:name w:val="Comment Subject Char"/>
    <w:basedOn w:val="CommentTextChar"/>
    <w:link w:val="CommentSubject"/>
    <w:uiPriority w:val="99"/>
    <w:semiHidden/>
    <w:rsid w:val="00E919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935"/>
    <w:rPr>
      <w:rFonts w:ascii="Tahoma" w:eastAsia="Times New Roman" w:hAnsi="Tahoma" w:cs="Tahoma"/>
      <w:sz w:val="16"/>
      <w:szCs w:val="16"/>
    </w:rPr>
  </w:style>
  <w:style w:type="paragraph" w:styleId="ListParagraph">
    <w:name w:val="List Paragraph"/>
    <w:basedOn w:val="Normal"/>
    <w:uiPriority w:val="34"/>
    <w:qFormat/>
    <w:rsid w:val="00AF392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Tom W</dc:creator>
  <cp:lastModifiedBy>Jennifer Lynn Moore</cp:lastModifiedBy>
  <cp:revision>2</cp:revision>
  <dcterms:created xsi:type="dcterms:W3CDTF">2020-10-17T20:55:00Z</dcterms:created>
  <dcterms:modified xsi:type="dcterms:W3CDTF">2020-10-17T20:55:00Z</dcterms:modified>
</cp:coreProperties>
</file>