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5E3D9" w14:textId="0543F46A" w:rsidR="00E875EC" w:rsidRPr="00E875EC" w:rsidRDefault="00E875EC" w:rsidP="00E875EC">
      <w:pPr>
        <w:pStyle w:val="Heading1"/>
        <w:rPr>
          <w:color w:val="auto"/>
        </w:rPr>
      </w:pPr>
      <w:r w:rsidRPr="00E875EC">
        <w:rPr>
          <w:color w:val="auto"/>
        </w:rPr>
        <w:t>Checklist for a High-Quality Syllabus</w:t>
      </w:r>
    </w:p>
    <w:p w14:paraId="4AC2B30E" w14:textId="77777777" w:rsidR="00E875EC" w:rsidRPr="00E875EC" w:rsidRDefault="00E875EC" w:rsidP="00E875EC">
      <w:pPr>
        <w:pStyle w:val="Heading2"/>
        <w:rPr>
          <w:color w:val="auto"/>
        </w:rPr>
      </w:pPr>
      <w:r w:rsidRPr="00E875EC">
        <w:rPr>
          <w:color w:val="auto"/>
        </w:rPr>
        <w:t>General Course Information</w:t>
      </w:r>
    </w:p>
    <w:p w14:paraId="2A5BF4E8" w14:textId="6A39C4A2" w:rsidR="00E875EC" w:rsidRPr="00E875EC" w:rsidRDefault="00E875EC" w:rsidP="00E875EC">
      <w:pPr>
        <w:pStyle w:val="ListParagraph"/>
        <w:numPr>
          <w:ilvl w:val="0"/>
          <w:numId w:val="10"/>
        </w:numPr>
      </w:pPr>
      <w:r w:rsidRPr="00E875EC">
        <w:t>Course number and title</w:t>
      </w:r>
    </w:p>
    <w:p w14:paraId="24CF3370" w14:textId="36F120F7" w:rsidR="00E875EC" w:rsidRPr="00E875EC" w:rsidRDefault="00E875EC" w:rsidP="00E875EC">
      <w:pPr>
        <w:pStyle w:val="ListParagraph"/>
        <w:numPr>
          <w:ilvl w:val="0"/>
          <w:numId w:val="10"/>
        </w:numPr>
      </w:pPr>
      <w:r w:rsidRPr="00E875EC">
        <w:t>Semester and year</w:t>
      </w:r>
    </w:p>
    <w:p w14:paraId="3BF50A48" w14:textId="5BCEB897" w:rsidR="00E875EC" w:rsidRPr="00E875EC" w:rsidRDefault="00E875EC" w:rsidP="00E875EC">
      <w:pPr>
        <w:pStyle w:val="ListParagraph"/>
        <w:numPr>
          <w:ilvl w:val="0"/>
          <w:numId w:val="10"/>
        </w:numPr>
      </w:pPr>
      <w:r w:rsidRPr="00E875EC">
        <w:t>Class meeting days, time, and location</w:t>
      </w:r>
    </w:p>
    <w:p w14:paraId="429847A5" w14:textId="77777777" w:rsidR="00E875EC" w:rsidRPr="00E875EC" w:rsidRDefault="00E875EC" w:rsidP="00E875EC">
      <w:pPr>
        <w:pStyle w:val="Heading2"/>
        <w:rPr>
          <w:color w:val="auto"/>
        </w:rPr>
      </w:pPr>
      <w:r w:rsidRPr="00E875EC">
        <w:rPr>
          <w:color w:val="auto"/>
        </w:rPr>
        <w:t>Instructor Information</w:t>
      </w:r>
    </w:p>
    <w:p w14:paraId="67015676" w14:textId="5B870B10" w:rsidR="00E875EC" w:rsidRPr="00E875EC" w:rsidRDefault="00E875EC" w:rsidP="00E875EC">
      <w:pPr>
        <w:pStyle w:val="ListParagraph"/>
        <w:numPr>
          <w:ilvl w:val="0"/>
          <w:numId w:val="9"/>
        </w:numPr>
      </w:pPr>
      <w:r w:rsidRPr="00E875EC">
        <w:t>Instructor name and preferred title</w:t>
      </w:r>
    </w:p>
    <w:p w14:paraId="395EDEAF" w14:textId="549F4664" w:rsidR="00E875EC" w:rsidRPr="00E875EC" w:rsidRDefault="00E875EC" w:rsidP="00E875EC">
      <w:pPr>
        <w:pStyle w:val="ListParagraph"/>
        <w:numPr>
          <w:ilvl w:val="0"/>
          <w:numId w:val="9"/>
        </w:numPr>
      </w:pPr>
      <w:r w:rsidRPr="00E875EC">
        <w:t>Teaching assistant and / or learning assistant information, if applicable</w:t>
      </w:r>
    </w:p>
    <w:p w14:paraId="0791B60C" w14:textId="0521747A" w:rsidR="00E875EC" w:rsidRPr="00E875EC" w:rsidRDefault="00E875EC" w:rsidP="00E875EC">
      <w:pPr>
        <w:pStyle w:val="ListParagraph"/>
        <w:numPr>
          <w:ilvl w:val="0"/>
          <w:numId w:val="9"/>
        </w:numPr>
      </w:pPr>
      <w:r w:rsidRPr="00E875EC">
        <w:t>Contact information and preferred method of contact</w:t>
      </w:r>
    </w:p>
    <w:p w14:paraId="7C018EFF" w14:textId="42D5D24A" w:rsidR="00E875EC" w:rsidRPr="00E875EC" w:rsidRDefault="00E875EC" w:rsidP="00E875EC">
      <w:pPr>
        <w:pStyle w:val="ListParagraph"/>
        <w:numPr>
          <w:ilvl w:val="0"/>
          <w:numId w:val="9"/>
        </w:numPr>
      </w:pPr>
      <w:r w:rsidRPr="00E875EC">
        <w:t>Instructor response time</w:t>
      </w:r>
    </w:p>
    <w:p w14:paraId="62D7C605" w14:textId="19E918B6" w:rsidR="00E875EC" w:rsidRPr="00E875EC" w:rsidRDefault="00E875EC" w:rsidP="00E875EC">
      <w:pPr>
        <w:pStyle w:val="ListParagraph"/>
        <w:numPr>
          <w:ilvl w:val="0"/>
          <w:numId w:val="9"/>
        </w:numPr>
      </w:pPr>
      <w:r w:rsidRPr="00E875EC">
        <w:t>Office location (physical or virtual)</w:t>
      </w:r>
    </w:p>
    <w:p w14:paraId="0AD4918D" w14:textId="2CB0958C" w:rsidR="00E875EC" w:rsidRPr="00E875EC" w:rsidRDefault="00E875EC" w:rsidP="00E875EC">
      <w:pPr>
        <w:pStyle w:val="ListParagraph"/>
        <w:numPr>
          <w:ilvl w:val="0"/>
          <w:numId w:val="9"/>
        </w:numPr>
      </w:pPr>
      <w:r w:rsidRPr="00E875EC">
        <w:t>Office Hours or Student Hours</w:t>
      </w:r>
    </w:p>
    <w:p w14:paraId="17E078A3" w14:textId="77777777" w:rsidR="00E875EC" w:rsidRPr="00E875EC" w:rsidRDefault="00E875EC" w:rsidP="00E875EC">
      <w:pPr>
        <w:pStyle w:val="Heading2"/>
        <w:rPr>
          <w:color w:val="auto"/>
        </w:rPr>
      </w:pPr>
      <w:r w:rsidRPr="00E875EC">
        <w:rPr>
          <w:color w:val="auto"/>
        </w:rPr>
        <w:t>Course Description</w:t>
      </w:r>
    </w:p>
    <w:p w14:paraId="1980B15A" w14:textId="63B9FEB9" w:rsidR="00E875EC" w:rsidRPr="00E875EC" w:rsidRDefault="00E875EC" w:rsidP="00E875EC">
      <w:pPr>
        <w:pStyle w:val="ListParagraph"/>
        <w:numPr>
          <w:ilvl w:val="0"/>
          <w:numId w:val="8"/>
        </w:numPr>
      </w:pPr>
      <w:r w:rsidRPr="00E875EC">
        <w:t>Course catalog description</w:t>
      </w:r>
    </w:p>
    <w:p w14:paraId="79207CA5" w14:textId="53B6550D" w:rsidR="00E875EC" w:rsidRPr="00E875EC" w:rsidRDefault="00E875EC" w:rsidP="00E875EC">
      <w:pPr>
        <w:pStyle w:val="ListParagraph"/>
        <w:numPr>
          <w:ilvl w:val="0"/>
          <w:numId w:val="8"/>
        </w:numPr>
      </w:pPr>
      <w:r w:rsidRPr="00E875EC">
        <w:t>Prerequisites and a description of programmatic alignment</w:t>
      </w:r>
    </w:p>
    <w:p w14:paraId="6E5AB38F" w14:textId="043E8F3B" w:rsidR="00E875EC" w:rsidRPr="00E875EC" w:rsidRDefault="00E875EC" w:rsidP="00E875EC">
      <w:pPr>
        <w:pStyle w:val="ListParagraph"/>
        <w:numPr>
          <w:ilvl w:val="0"/>
          <w:numId w:val="8"/>
        </w:numPr>
      </w:pPr>
      <w:r w:rsidRPr="00E875EC">
        <w:t>Course learning objectives: clear, measurable, and student-centered (</w:t>
      </w:r>
      <w:hyperlink r:id="rId5" w:history="1">
        <w:r w:rsidRPr="00E875EC">
          <w:rPr>
            <w:rStyle w:val="Hyperlink"/>
          </w:rPr>
          <w:t>Bloom’s Alignment Table)</w:t>
        </w:r>
      </w:hyperlink>
    </w:p>
    <w:p w14:paraId="28A76B43" w14:textId="08B26762" w:rsidR="00E875EC" w:rsidRPr="00E875EC" w:rsidRDefault="00E875EC" w:rsidP="00E875EC">
      <w:pPr>
        <w:pStyle w:val="ListParagraph"/>
        <w:numPr>
          <w:ilvl w:val="0"/>
          <w:numId w:val="8"/>
        </w:numPr>
      </w:pPr>
      <w:r w:rsidRPr="00E875EC">
        <w:t>Method of course delivery (in-person, hybrid, remote, online)</w:t>
      </w:r>
    </w:p>
    <w:p w14:paraId="39CABBFD" w14:textId="77777777" w:rsidR="00E875EC" w:rsidRPr="00E875EC" w:rsidRDefault="00E875EC" w:rsidP="00E875EC">
      <w:pPr>
        <w:pStyle w:val="Heading2"/>
        <w:rPr>
          <w:color w:val="auto"/>
        </w:rPr>
      </w:pPr>
      <w:r w:rsidRPr="00E875EC">
        <w:rPr>
          <w:color w:val="auto"/>
        </w:rPr>
        <w:t>Instructional and Technology Information</w:t>
      </w:r>
    </w:p>
    <w:p w14:paraId="319A99CD" w14:textId="18E2BE55" w:rsidR="00E875EC" w:rsidRPr="00E875EC" w:rsidRDefault="00E875EC" w:rsidP="00E875EC">
      <w:pPr>
        <w:pStyle w:val="ListParagraph"/>
        <w:numPr>
          <w:ilvl w:val="0"/>
          <w:numId w:val="7"/>
        </w:numPr>
      </w:pPr>
      <w:r w:rsidRPr="00E875EC">
        <w:t>Required textbooks, readings, and / or materials</w:t>
      </w:r>
    </w:p>
    <w:p w14:paraId="130B0C7E" w14:textId="5D8CB911" w:rsidR="00E875EC" w:rsidRPr="00E875EC" w:rsidRDefault="00E875EC" w:rsidP="00E875EC">
      <w:pPr>
        <w:pStyle w:val="ListParagraph"/>
        <w:numPr>
          <w:ilvl w:val="1"/>
          <w:numId w:val="7"/>
        </w:numPr>
      </w:pPr>
      <w:r w:rsidRPr="00E875EC">
        <w:t>Differentiate between required and optional materials</w:t>
      </w:r>
    </w:p>
    <w:p w14:paraId="29EAE809" w14:textId="28F9CE37" w:rsidR="00E875EC" w:rsidRPr="00E875EC" w:rsidRDefault="00E875EC" w:rsidP="00E875EC">
      <w:pPr>
        <w:pStyle w:val="ListParagraph"/>
        <w:numPr>
          <w:ilvl w:val="1"/>
          <w:numId w:val="7"/>
        </w:numPr>
      </w:pPr>
      <w:r w:rsidRPr="00E875EC">
        <w:t>Research and writings from authors of diverse backgrounds and offering multiple perspectives</w:t>
      </w:r>
    </w:p>
    <w:p w14:paraId="76535792" w14:textId="328B217A" w:rsidR="00E875EC" w:rsidRPr="00E875EC" w:rsidRDefault="00E875EC" w:rsidP="00E875EC">
      <w:pPr>
        <w:pStyle w:val="ListParagraph"/>
        <w:numPr>
          <w:ilvl w:val="1"/>
          <w:numId w:val="7"/>
        </w:numPr>
      </w:pPr>
      <w:r w:rsidRPr="00E875EC">
        <w:t xml:space="preserve">Access to </w:t>
      </w:r>
      <w:hyperlink r:id="rId6" w:history="1">
        <w:r w:rsidRPr="00E875EC">
          <w:rPr>
            <w:rStyle w:val="Hyperlink"/>
          </w:rPr>
          <w:t>Open Educational Resources</w:t>
        </w:r>
      </w:hyperlink>
    </w:p>
    <w:p w14:paraId="765368E8" w14:textId="2F465719" w:rsidR="00E875EC" w:rsidRPr="00E875EC" w:rsidRDefault="00E875EC" w:rsidP="00E875EC">
      <w:pPr>
        <w:pStyle w:val="ListParagraph"/>
        <w:numPr>
          <w:ilvl w:val="1"/>
          <w:numId w:val="7"/>
        </w:numPr>
      </w:pPr>
      <w:r w:rsidRPr="00E875EC">
        <w:t>Required technologies, software, and /or programs</w:t>
      </w:r>
    </w:p>
    <w:p w14:paraId="78EC89A2" w14:textId="570CABB5" w:rsidR="00E875EC" w:rsidRPr="00E875EC" w:rsidRDefault="00E875EC" w:rsidP="00E875EC">
      <w:pPr>
        <w:pStyle w:val="ListParagraph"/>
        <w:numPr>
          <w:ilvl w:val="1"/>
          <w:numId w:val="7"/>
        </w:numPr>
      </w:pPr>
      <w:r w:rsidRPr="00E875EC">
        <w:t>Minimal student technical requirements or skills</w:t>
      </w:r>
    </w:p>
    <w:p w14:paraId="256907B6" w14:textId="1DCD81A2" w:rsidR="00E875EC" w:rsidRPr="00E875EC" w:rsidRDefault="00E875EC" w:rsidP="00E875EC">
      <w:pPr>
        <w:pStyle w:val="ListParagraph"/>
        <w:numPr>
          <w:ilvl w:val="2"/>
          <w:numId w:val="7"/>
        </w:numPr>
      </w:pPr>
      <w:r w:rsidRPr="00E875EC">
        <w:t>Provide technical support information or required technologies and software</w:t>
      </w:r>
    </w:p>
    <w:p w14:paraId="49598E55" w14:textId="77777777" w:rsidR="00E875EC" w:rsidRPr="00E875EC" w:rsidRDefault="00E875EC" w:rsidP="00E875EC">
      <w:pPr>
        <w:pStyle w:val="Heading2"/>
        <w:rPr>
          <w:color w:val="auto"/>
        </w:rPr>
      </w:pPr>
      <w:r w:rsidRPr="00E875EC">
        <w:rPr>
          <w:color w:val="auto"/>
        </w:rPr>
        <w:t>Course Assignment and Assessments</w:t>
      </w:r>
    </w:p>
    <w:p w14:paraId="0BB63C15" w14:textId="328BFFA9" w:rsidR="00E875EC" w:rsidRPr="00E875EC" w:rsidRDefault="00E875EC" w:rsidP="00E875EC">
      <w:pPr>
        <w:pStyle w:val="ListParagraph"/>
        <w:numPr>
          <w:ilvl w:val="0"/>
          <w:numId w:val="6"/>
        </w:numPr>
      </w:pPr>
      <w:r w:rsidRPr="00E875EC">
        <w:t>Assignments, projects, quizzes, and / or exams with brief descriptions of expectations and points assigned to each activity</w:t>
      </w:r>
    </w:p>
    <w:p w14:paraId="692BA600" w14:textId="2D99E567" w:rsidR="00E875EC" w:rsidRPr="00E875EC" w:rsidRDefault="00E875EC" w:rsidP="00E875EC">
      <w:pPr>
        <w:pStyle w:val="ListParagraph"/>
        <w:numPr>
          <w:ilvl w:val="1"/>
          <w:numId w:val="6"/>
        </w:numPr>
      </w:pPr>
      <w:r w:rsidRPr="00E875EC">
        <w:t>Provides students with multiple opportunities to track their learning progress with timely feedback (including self-assessment)</w:t>
      </w:r>
    </w:p>
    <w:p w14:paraId="4A8C4CEE" w14:textId="2613F2CA" w:rsidR="00E875EC" w:rsidRPr="00E875EC" w:rsidRDefault="00E875EC" w:rsidP="00E875EC">
      <w:pPr>
        <w:pStyle w:val="ListParagraph"/>
        <w:numPr>
          <w:ilvl w:val="1"/>
          <w:numId w:val="6"/>
        </w:numPr>
      </w:pPr>
      <w:r w:rsidRPr="00E875EC">
        <w:t>Provides multiple ways for students to engage with the course content</w:t>
      </w:r>
    </w:p>
    <w:p w14:paraId="037014C4" w14:textId="0D22A797" w:rsidR="00E875EC" w:rsidRPr="00E875EC" w:rsidRDefault="00E875EC" w:rsidP="00E875EC">
      <w:pPr>
        <w:pStyle w:val="ListParagraph"/>
        <w:numPr>
          <w:ilvl w:val="1"/>
          <w:numId w:val="6"/>
        </w:numPr>
      </w:pPr>
      <w:r w:rsidRPr="00E875EC">
        <w:t>Provides multiple ways for students to express what they have learned</w:t>
      </w:r>
    </w:p>
    <w:p w14:paraId="7DD94F8F" w14:textId="34BBE7FB" w:rsidR="00E875EC" w:rsidRPr="00E875EC" w:rsidRDefault="00E875EC" w:rsidP="00E875EC">
      <w:pPr>
        <w:pStyle w:val="ListParagraph"/>
        <w:numPr>
          <w:ilvl w:val="1"/>
          <w:numId w:val="6"/>
        </w:numPr>
      </w:pPr>
      <w:r w:rsidRPr="00E875EC">
        <w:t>Provides multiple forms of representation of course content (websites, audio, video, images, slides, text, etc.)</w:t>
      </w:r>
    </w:p>
    <w:p w14:paraId="14CE0F2C" w14:textId="7459CF43" w:rsidR="00E875EC" w:rsidRPr="00E875EC" w:rsidRDefault="00E875EC" w:rsidP="00E875EC">
      <w:pPr>
        <w:pStyle w:val="ListParagraph"/>
        <w:numPr>
          <w:ilvl w:val="1"/>
          <w:numId w:val="6"/>
        </w:numPr>
      </w:pPr>
      <w:r w:rsidRPr="00E875EC">
        <w:t>Alignment to course learning outcomes and objectives is transparent and well-articulated for the student audience</w:t>
      </w:r>
    </w:p>
    <w:p w14:paraId="4028C5F4" w14:textId="36BDF9EB" w:rsidR="00E875EC" w:rsidRPr="00E875EC" w:rsidRDefault="00E875EC" w:rsidP="00E875EC">
      <w:pPr>
        <w:pStyle w:val="ListParagraph"/>
        <w:numPr>
          <w:ilvl w:val="1"/>
          <w:numId w:val="6"/>
        </w:numPr>
      </w:pPr>
      <w:r w:rsidRPr="00E875EC">
        <w:t>Assignments offer multiple options, flexibility, choice, various ways</w:t>
      </w:r>
      <w:r>
        <w:t xml:space="preserve"> </w:t>
      </w:r>
      <w:r w:rsidRPr="00E875EC">
        <w:t>of developing and demonstrating knowledge</w:t>
      </w:r>
    </w:p>
    <w:p w14:paraId="773EF99A" w14:textId="71DDC093" w:rsidR="00E875EC" w:rsidRPr="00E875EC" w:rsidRDefault="00E875EC" w:rsidP="00E875EC">
      <w:pPr>
        <w:pStyle w:val="ListParagraph"/>
        <w:numPr>
          <w:ilvl w:val="1"/>
          <w:numId w:val="6"/>
        </w:numPr>
      </w:pPr>
      <w:r w:rsidRPr="00E875EC">
        <w:lastRenderedPageBreak/>
        <w:t>Scaffolding of extensive assignments with options for review, feedback, and revision</w:t>
      </w:r>
    </w:p>
    <w:p w14:paraId="45FA9297" w14:textId="08C04BAE" w:rsidR="00E875EC" w:rsidRPr="00E875EC" w:rsidRDefault="00E875EC" w:rsidP="00E875EC">
      <w:pPr>
        <w:pStyle w:val="ListParagraph"/>
        <w:numPr>
          <w:ilvl w:val="0"/>
          <w:numId w:val="6"/>
        </w:numPr>
      </w:pPr>
      <w:r w:rsidRPr="00E875EC">
        <w:t>Grading scheme</w:t>
      </w:r>
    </w:p>
    <w:p w14:paraId="38D67842" w14:textId="035A355E" w:rsidR="00E875EC" w:rsidRPr="00E875EC" w:rsidRDefault="00E875EC" w:rsidP="00E875EC">
      <w:pPr>
        <w:pStyle w:val="ListParagraph"/>
        <w:numPr>
          <w:ilvl w:val="1"/>
          <w:numId w:val="6"/>
        </w:numPr>
      </w:pPr>
      <w:r w:rsidRPr="00E875EC">
        <w:t>Fair and clear assessment criteria: rubrics, templates, checklists, and rationales for grading</w:t>
      </w:r>
    </w:p>
    <w:p w14:paraId="16D047CF" w14:textId="77777777" w:rsidR="00E875EC" w:rsidRPr="00E875EC" w:rsidRDefault="00E875EC" w:rsidP="00E875EC">
      <w:pPr>
        <w:pStyle w:val="Heading2"/>
        <w:rPr>
          <w:color w:val="auto"/>
        </w:rPr>
      </w:pPr>
      <w:r w:rsidRPr="00E875EC">
        <w:rPr>
          <w:color w:val="auto"/>
        </w:rPr>
        <w:t>Course Policies and Procedures</w:t>
      </w:r>
    </w:p>
    <w:p w14:paraId="4F5F7CC8" w14:textId="18AB5265" w:rsidR="00E875EC" w:rsidRPr="00E875EC" w:rsidRDefault="00E875EC" w:rsidP="00E875EC">
      <w:pPr>
        <w:pStyle w:val="ListParagraph"/>
        <w:numPr>
          <w:ilvl w:val="0"/>
          <w:numId w:val="5"/>
        </w:numPr>
      </w:pPr>
      <w:r w:rsidRPr="00E875EC">
        <w:t>Attendance and / or course engagement policy</w:t>
      </w:r>
    </w:p>
    <w:p w14:paraId="29CE9AC4" w14:textId="611CE088" w:rsidR="00E875EC" w:rsidRPr="00E875EC" w:rsidRDefault="00E875EC" w:rsidP="00E875EC">
      <w:pPr>
        <w:pStyle w:val="ListParagraph"/>
        <w:numPr>
          <w:ilvl w:val="0"/>
          <w:numId w:val="5"/>
        </w:numPr>
      </w:pPr>
      <w:r w:rsidRPr="00E875EC">
        <w:t>Expectations for learning</w:t>
      </w:r>
    </w:p>
    <w:p w14:paraId="76142352" w14:textId="095B760A" w:rsidR="00E875EC" w:rsidRPr="00E875EC" w:rsidRDefault="00E875EC" w:rsidP="00E875EC">
      <w:pPr>
        <w:pStyle w:val="ListParagraph"/>
        <w:numPr>
          <w:ilvl w:val="0"/>
          <w:numId w:val="5"/>
        </w:numPr>
      </w:pPr>
      <w:r w:rsidRPr="00E875EC">
        <w:t>Academic Honesty Policy (</w:t>
      </w:r>
      <w:hyperlink r:id="rId7" w:history="1">
        <w:r w:rsidRPr="00E875EC">
          <w:rPr>
            <w:rStyle w:val="Hyperlink"/>
          </w:rPr>
          <w:t>BGSU Official Policy</w:t>
        </w:r>
      </w:hyperlink>
      <w:r w:rsidRPr="00E875EC">
        <w:t>) (</w:t>
      </w:r>
      <w:hyperlink r:id="rId8" w:history="1">
        <w:r w:rsidRPr="00E875EC">
          <w:rPr>
            <w:rStyle w:val="Hyperlink"/>
          </w:rPr>
          <w:t>Code of Academic Conduct</w:t>
        </w:r>
      </w:hyperlink>
      <w:r w:rsidRPr="00E875EC">
        <w:t>)</w:t>
      </w:r>
    </w:p>
    <w:p w14:paraId="7D9C03FC" w14:textId="19E2C99F" w:rsidR="00E875EC" w:rsidRPr="00E875EC" w:rsidRDefault="00E875EC" w:rsidP="00E875EC">
      <w:pPr>
        <w:pStyle w:val="ListParagraph"/>
        <w:numPr>
          <w:ilvl w:val="0"/>
          <w:numId w:val="5"/>
        </w:numPr>
      </w:pPr>
      <w:r w:rsidRPr="00E875EC">
        <w:t>Pronoun Policy (</w:t>
      </w:r>
      <w:hyperlink r:id="rId9" w:anchor=":~:text=In%20meetings%2C%20ask%20everyone%20to,pronouns%20in%20your%20email%20signature" w:history="1">
        <w:r w:rsidRPr="00E875EC">
          <w:rPr>
            <w:rStyle w:val="Hyperlink"/>
          </w:rPr>
          <w:t>BGSU Pronoun Policy</w:t>
        </w:r>
      </w:hyperlink>
      <w:r w:rsidRPr="00E875EC">
        <w:t>)</w:t>
      </w:r>
    </w:p>
    <w:p w14:paraId="6551DCD8" w14:textId="5AC0D519" w:rsidR="00E875EC" w:rsidRPr="00E875EC" w:rsidRDefault="00E875EC" w:rsidP="00E875EC">
      <w:pPr>
        <w:pStyle w:val="ListParagraph"/>
        <w:numPr>
          <w:ilvl w:val="0"/>
          <w:numId w:val="5"/>
        </w:numPr>
      </w:pPr>
      <w:r w:rsidRPr="00E875EC">
        <w:t>Expectations for an inclusive classroom</w:t>
      </w:r>
    </w:p>
    <w:p w14:paraId="109245E1" w14:textId="30EE9AF7" w:rsidR="00E875EC" w:rsidRPr="00E875EC" w:rsidRDefault="00E875EC" w:rsidP="00E875EC">
      <w:pPr>
        <w:pStyle w:val="ListParagraph"/>
        <w:numPr>
          <w:ilvl w:val="0"/>
          <w:numId w:val="5"/>
        </w:numPr>
      </w:pPr>
      <w:r w:rsidRPr="00E875EC">
        <w:t>Netiquette Statement a.k.a. ‘Network etiquette’</w:t>
      </w:r>
    </w:p>
    <w:p w14:paraId="568F826F" w14:textId="51A3C17F" w:rsidR="00E875EC" w:rsidRPr="00E875EC" w:rsidRDefault="00E875EC" w:rsidP="00E875EC">
      <w:pPr>
        <w:pStyle w:val="ListParagraph"/>
        <w:numPr>
          <w:ilvl w:val="0"/>
          <w:numId w:val="5"/>
        </w:numPr>
      </w:pPr>
      <w:r w:rsidRPr="00E875EC">
        <w:t>Late work / make-up policy</w:t>
      </w:r>
    </w:p>
    <w:p w14:paraId="5A8BB0EB" w14:textId="21978A7C" w:rsidR="00E875EC" w:rsidRPr="00E875EC" w:rsidRDefault="00E875EC" w:rsidP="00E875EC">
      <w:pPr>
        <w:pStyle w:val="ListParagraph"/>
        <w:numPr>
          <w:ilvl w:val="0"/>
          <w:numId w:val="5"/>
        </w:numPr>
      </w:pPr>
      <w:r w:rsidRPr="00E875EC">
        <w:t>Copyright / fair-use policy</w:t>
      </w:r>
    </w:p>
    <w:p w14:paraId="3C0F03FC" w14:textId="77777777" w:rsidR="00E875EC" w:rsidRPr="00E875EC" w:rsidRDefault="00E875EC" w:rsidP="00E875EC">
      <w:pPr>
        <w:pStyle w:val="Heading2"/>
        <w:rPr>
          <w:color w:val="auto"/>
        </w:rPr>
      </w:pPr>
      <w:r w:rsidRPr="00E875EC">
        <w:rPr>
          <w:color w:val="auto"/>
        </w:rPr>
        <w:t>Student Support Resources</w:t>
      </w:r>
    </w:p>
    <w:p w14:paraId="2718A181" w14:textId="7E132527" w:rsidR="00E875EC" w:rsidRPr="00E875EC" w:rsidRDefault="00E875EC" w:rsidP="00E875EC">
      <w:pPr>
        <w:pStyle w:val="ListParagraph"/>
        <w:numPr>
          <w:ilvl w:val="0"/>
          <w:numId w:val="4"/>
        </w:numPr>
      </w:pPr>
      <w:hyperlink r:id="rId10" w:history="1">
        <w:r w:rsidRPr="00E875EC">
          <w:rPr>
            <w:rStyle w:val="Hyperlink"/>
          </w:rPr>
          <w:t>BGSU Accessibility Services</w:t>
        </w:r>
      </w:hyperlink>
    </w:p>
    <w:p w14:paraId="76F8AC39" w14:textId="77678E99" w:rsidR="00E875EC" w:rsidRPr="00E875EC" w:rsidRDefault="00E875EC" w:rsidP="00E875EC">
      <w:pPr>
        <w:pStyle w:val="ListParagraph"/>
        <w:numPr>
          <w:ilvl w:val="0"/>
          <w:numId w:val="4"/>
        </w:numPr>
      </w:pPr>
      <w:hyperlink r:id="rId11" w:history="1">
        <w:r w:rsidRPr="00E875EC">
          <w:rPr>
            <w:rStyle w:val="Hyperlink"/>
          </w:rPr>
          <w:t>BGSU Counseling Center</w:t>
        </w:r>
      </w:hyperlink>
    </w:p>
    <w:p w14:paraId="3CF40928" w14:textId="32642F7E" w:rsidR="00E875EC" w:rsidRPr="00E875EC" w:rsidRDefault="00E875EC" w:rsidP="00E875EC">
      <w:pPr>
        <w:pStyle w:val="ListParagraph"/>
        <w:numPr>
          <w:ilvl w:val="0"/>
          <w:numId w:val="4"/>
        </w:numPr>
      </w:pPr>
      <w:hyperlink r:id="rId12" w:history="1">
        <w:r w:rsidRPr="00E875EC">
          <w:rPr>
            <w:rStyle w:val="Hyperlink"/>
          </w:rPr>
          <w:t>Learning Commons</w:t>
        </w:r>
      </w:hyperlink>
    </w:p>
    <w:p w14:paraId="79102682" w14:textId="0C4B1971" w:rsidR="00E875EC" w:rsidRPr="00E875EC" w:rsidRDefault="00E875EC" w:rsidP="00E875EC">
      <w:pPr>
        <w:pStyle w:val="ListParagraph"/>
        <w:numPr>
          <w:ilvl w:val="0"/>
          <w:numId w:val="4"/>
        </w:numPr>
      </w:pPr>
      <w:hyperlink r:id="rId13" w:history="1">
        <w:r w:rsidRPr="00E875EC">
          <w:rPr>
            <w:rStyle w:val="Hyperlink"/>
          </w:rPr>
          <w:t>Library Resources</w:t>
        </w:r>
      </w:hyperlink>
    </w:p>
    <w:p w14:paraId="1B9A3621" w14:textId="6787D204" w:rsidR="00E875EC" w:rsidRPr="00E875EC" w:rsidRDefault="00E875EC" w:rsidP="00E875EC">
      <w:pPr>
        <w:pStyle w:val="ListParagraph"/>
        <w:numPr>
          <w:ilvl w:val="0"/>
          <w:numId w:val="4"/>
        </w:numPr>
      </w:pPr>
      <w:hyperlink r:id="rId14" w:history="1">
        <w:r w:rsidRPr="00E875EC">
          <w:rPr>
            <w:rStyle w:val="Hyperlink"/>
          </w:rPr>
          <w:t>Technology Support</w:t>
        </w:r>
      </w:hyperlink>
    </w:p>
    <w:p w14:paraId="061B3F46" w14:textId="77777777" w:rsidR="00E875EC" w:rsidRPr="00E875EC" w:rsidRDefault="00E875EC" w:rsidP="00E875EC">
      <w:pPr>
        <w:pStyle w:val="Heading2"/>
        <w:rPr>
          <w:color w:val="auto"/>
        </w:rPr>
      </w:pPr>
      <w:r w:rsidRPr="00E875EC">
        <w:rPr>
          <w:color w:val="auto"/>
        </w:rPr>
        <w:t>Course Outline and Schedule</w:t>
      </w:r>
    </w:p>
    <w:p w14:paraId="5E570525" w14:textId="74F3593C" w:rsidR="00E875EC" w:rsidRPr="00E875EC" w:rsidRDefault="00E875EC" w:rsidP="00E875EC">
      <w:pPr>
        <w:pStyle w:val="ListParagraph"/>
        <w:numPr>
          <w:ilvl w:val="0"/>
          <w:numId w:val="3"/>
        </w:numPr>
      </w:pPr>
      <w:r w:rsidRPr="00E875EC">
        <w:t>Topics and timeline</w:t>
      </w:r>
    </w:p>
    <w:p w14:paraId="4B6D366E" w14:textId="20D7E75D" w:rsidR="00E875EC" w:rsidRPr="00E875EC" w:rsidRDefault="00E875EC" w:rsidP="00E875EC">
      <w:pPr>
        <w:pStyle w:val="ListParagraph"/>
        <w:numPr>
          <w:ilvl w:val="0"/>
          <w:numId w:val="3"/>
        </w:numPr>
      </w:pPr>
      <w:r w:rsidRPr="00E875EC">
        <w:t>Reading assignments</w:t>
      </w:r>
    </w:p>
    <w:p w14:paraId="37CDF992" w14:textId="379650F4" w:rsidR="00E875EC" w:rsidRPr="00E875EC" w:rsidRDefault="00E875EC" w:rsidP="00E875EC">
      <w:pPr>
        <w:pStyle w:val="ListParagraph"/>
        <w:numPr>
          <w:ilvl w:val="0"/>
          <w:numId w:val="3"/>
        </w:numPr>
      </w:pPr>
      <w:r w:rsidRPr="00E875EC">
        <w:t>Due dates (assignments, tests, exams)</w:t>
      </w:r>
    </w:p>
    <w:p w14:paraId="73EC272F" w14:textId="28B4BC4D" w:rsidR="00E875EC" w:rsidRPr="00E875EC" w:rsidRDefault="00E875EC" w:rsidP="00E875EC">
      <w:pPr>
        <w:pStyle w:val="ListParagraph"/>
        <w:numPr>
          <w:ilvl w:val="0"/>
          <w:numId w:val="3"/>
        </w:numPr>
      </w:pPr>
      <w:r w:rsidRPr="00E875EC">
        <w:t>Final exam date and time (from university schedule)</w:t>
      </w:r>
    </w:p>
    <w:p w14:paraId="45A82B69" w14:textId="77777777" w:rsidR="00E875EC" w:rsidRPr="00E875EC" w:rsidRDefault="00E875EC" w:rsidP="00E875EC">
      <w:pPr>
        <w:pStyle w:val="Heading2"/>
        <w:rPr>
          <w:color w:val="auto"/>
        </w:rPr>
      </w:pPr>
      <w:r w:rsidRPr="00E875EC">
        <w:rPr>
          <w:color w:val="auto"/>
        </w:rPr>
        <w:t>Additional Resources for a High-Quality Syllabus</w:t>
      </w:r>
    </w:p>
    <w:p w14:paraId="0DA4BF42" w14:textId="1A3274B8" w:rsidR="00E875EC" w:rsidRDefault="00E875EC" w:rsidP="00E875EC">
      <w:pPr>
        <w:pStyle w:val="ListParagraph"/>
        <w:numPr>
          <w:ilvl w:val="0"/>
          <w:numId w:val="2"/>
        </w:numPr>
      </w:pPr>
      <w:hyperlink r:id="rId15" w:history="1">
        <w:r w:rsidRPr="00E875EC">
          <w:rPr>
            <w:rStyle w:val="Hyperlink"/>
          </w:rPr>
          <w:t>Quality Matters Higher Education Rubric</w:t>
        </w:r>
      </w:hyperlink>
    </w:p>
    <w:p w14:paraId="3A4E7450" w14:textId="7F72575C" w:rsidR="005B2715" w:rsidRPr="00E875EC" w:rsidRDefault="00E875EC" w:rsidP="00E875EC">
      <w:pPr>
        <w:pStyle w:val="ListParagraph"/>
        <w:numPr>
          <w:ilvl w:val="0"/>
          <w:numId w:val="2"/>
        </w:numPr>
      </w:pPr>
      <w:hyperlink r:id="rId16" w:history="1">
        <w:r w:rsidRPr="00E875EC">
          <w:rPr>
            <w:rStyle w:val="Hyperlink"/>
          </w:rPr>
          <w:t>Universal Design for Learning Syllabus</w:t>
        </w:r>
      </w:hyperlink>
    </w:p>
    <w:sectPr w:rsidR="005B2715" w:rsidRPr="00E8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84A01"/>
    <w:multiLevelType w:val="hybridMultilevel"/>
    <w:tmpl w:val="B4DE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2901"/>
    <w:multiLevelType w:val="hybridMultilevel"/>
    <w:tmpl w:val="6880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1CEC"/>
    <w:multiLevelType w:val="hybridMultilevel"/>
    <w:tmpl w:val="7FB6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21789"/>
    <w:multiLevelType w:val="hybridMultilevel"/>
    <w:tmpl w:val="3FF2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845BF"/>
    <w:multiLevelType w:val="hybridMultilevel"/>
    <w:tmpl w:val="ED9E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20151"/>
    <w:multiLevelType w:val="hybridMultilevel"/>
    <w:tmpl w:val="4488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B6DB4"/>
    <w:multiLevelType w:val="hybridMultilevel"/>
    <w:tmpl w:val="BB6E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F799F"/>
    <w:multiLevelType w:val="hybridMultilevel"/>
    <w:tmpl w:val="2BA8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D229E"/>
    <w:multiLevelType w:val="hybridMultilevel"/>
    <w:tmpl w:val="7E62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31E93"/>
    <w:multiLevelType w:val="hybridMultilevel"/>
    <w:tmpl w:val="5CA2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EC"/>
    <w:rsid w:val="00162EB9"/>
    <w:rsid w:val="005B2715"/>
    <w:rsid w:val="00E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D916C"/>
  <w15:chartTrackingRefBased/>
  <w15:docId w15:val="{5453C1B6-2FB9-4EBF-9BEA-14EF7253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5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75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87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5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7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su.edu/content/dam/BGSU/dean-of-students/Conduct/Academic-Code-of-Conduct-Chapter.pdf" TargetMode="External"/><Relationship Id="rId13" Type="http://schemas.openxmlformats.org/officeDocument/2006/relationships/hyperlink" Target="https://www.bgsu.edu/library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gsu.edu/content/dam/BGSU/catalog/academic-honesty/official-policy.pdf" TargetMode="External"/><Relationship Id="rId12" Type="http://schemas.openxmlformats.org/officeDocument/2006/relationships/hyperlink" Target="https://www.bgsu.edu/learning-common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dloncampus.cast.org/page/planning_syllab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gsu.edu/content/dam/BGSU/center-for-faculty-excellence/docs/Syllabi-Resources/Blooms-Alignment-Table-Revised.pdf" TargetMode="External"/><Relationship Id="rId11" Type="http://schemas.openxmlformats.org/officeDocument/2006/relationships/hyperlink" Target="https://www.bgsu.edu/counseling-center.html" TargetMode="External"/><Relationship Id="rId5" Type="http://schemas.openxmlformats.org/officeDocument/2006/relationships/hyperlink" Target="https://www.bgsu.edu/content/dam/BGSU/center-for-faculty-excellence/docs/Syllabi-Resources/Blooms-Alignment-Table-Revised.pdf" TargetMode="External"/><Relationship Id="rId15" Type="http://schemas.openxmlformats.org/officeDocument/2006/relationships/hyperlink" Target="https://www.qualitymatters.org/sites/default/files/PDFs/StandardsfromtheQMHigherEducationRubric.pdf" TargetMode="External"/><Relationship Id="rId10" Type="http://schemas.openxmlformats.org/officeDocument/2006/relationships/hyperlink" Target="https://www.bgsu.edu/accessibility-services/stud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gsu.edu/equity-diversity-and-inclusion/gender-pronouns.html" TargetMode="External"/><Relationship Id="rId14" Type="http://schemas.openxmlformats.org/officeDocument/2006/relationships/hyperlink" Target="https://www.bgsu.edu/its/contact.html/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 Meyer</dc:creator>
  <cp:keywords/>
  <dc:description/>
  <cp:lastModifiedBy>Kelsey L Meyer</cp:lastModifiedBy>
  <cp:revision>2</cp:revision>
  <dcterms:created xsi:type="dcterms:W3CDTF">2022-03-25T16:01:00Z</dcterms:created>
  <dcterms:modified xsi:type="dcterms:W3CDTF">2022-03-25T16:01:00Z</dcterms:modified>
</cp:coreProperties>
</file>