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3" w:type="dxa"/>
        <w:tblInd w:w="-60" w:type="dxa"/>
        <w:tblBorders>
          <w:top w:val="threeDEngrave" w:sz="24" w:space="0" w:color="E36C0A" w:themeColor="accent6" w:themeShade="BF"/>
          <w:left w:val="threeDEngrave" w:sz="24" w:space="0" w:color="E36C0A" w:themeColor="accent6" w:themeShade="BF"/>
          <w:bottom w:val="threeDEngrave" w:sz="24" w:space="0" w:color="E36C0A" w:themeColor="accent6" w:themeShade="BF"/>
          <w:right w:val="threeDEngrave" w:sz="24" w:space="0" w:color="E36C0A" w:themeColor="accent6" w:themeShade="BF"/>
          <w:insideH w:val="threeDEngrave" w:sz="24" w:space="0" w:color="E36C0A" w:themeColor="accent6" w:themeShade="BF"/>
          <w:insideV w:val="threeDEngrave" w:sz="24" w:space="0" w:color="E36C0A" w:themeColor="accent6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3"/>
      </w:tblGrid>
      <w:tr w:rsidR="00A54B4E" w:rsidRPr="00A54B4E" w:rsidTr="009843CD">
        <w:trPr>
          <w:trHeight w:val="960"/>
        </w:trPr>
        <w:tc>
          <w:tcPr>
            <w:tcW w:w="10933" w:type="dxa"/>
            <w:vAlign w:val="center"/>
          </w:tcPr>
          <w:p w:rsidR="00D0111D" w:rsidRDefault="001A4AB5" w:rsidP="00D0111D">
            <w:pPr>
              <w:jc w:val="center"/>
              <w:rPr>
                <w:rFonts w:asciiTheme="majorHAnsi" w:hAnsiTheme="majorHAnsi"/>
                <w:b/>
                <w:color w:val="E36C0A" w:themeColor="accent6" w:themeShade="BF"/>
                <w:sz w:val="32"/>
                <w:szCs w:val="32"/>
              </w:rPr>
            </w:pPr>
            <w:r w:rsidRPr="00A54B4E">
              <w:rPr>
                <w:rFonts w:asciiTheme="majorHAnsi" w:hAnsiTheme="majorHAnsi"/>
                <w:b/>
                <w:bCs/>
                <w:color w:val="4A442A" w:themeColor="background2" w:themeShade="40"/>
                <w:sz w:val="32"/>
                <w:szCs w:val="32"/>
              </w:rPr>
              <w:t>Department of Finance</w:t>
            </w:r>
            <w:r w:rsidRPr="00A54B4E">
              <w:rPr>
                <w:rFonts w:asciiTheme="majorHAnsi" w:hAnsiTheme="majorHAnsi"/>
                <w:b/>
                <w:bCs/>
                <w:color w:val="4A442A" w:themeColor="background2" w:themeShade="40"/>
                <w:sz w:val="32"/>
                <w:szCs w:val="32"/>
              </w:rPr>
              <w:br/>
            </w:r>
            <w:r w:rsidR="00D10298">
              <w:rPr>
                <w:rFonts w:asciiTheme="majorHAnsi" w:hAnsiTheme="majorHAnsi"/>
                <w:b/>
                <w:color w:val="E36C0A" w:themeColor="accent6" w:themeShade="BF"/>
                <w:sz w:val="32"/>
                <w:szCs w:val="32"/>
              </w:rPr>
              <w:t>SPRING</w:t>
            </w:r>
            <w:r w:rsidRPr="00A54B4E">
              <w:rPr>
                <w:rFonts w:asciiTheme="majorHAnsi" w:hAnsiTheme="majorHAnsi"/>
                <w:b/>
                <w:color w:val="E36C0A" w:themeColor="accent6" w:themeShade="BF"/>
                <w:sz w:val="32"/>
                <w:szCs w:val="32"/>
              </w:rPr>
              <w:t xml:space="preserve"> 20</w:t>
            </w:r>
            <w:r w:rsidR="00706FB0">
              <w:rPr>
                <w:rFonts w:asciiTheme="majorHAnsi" w:hAnsiTheme="majorHAnsi"/>
                <w:b/>
                <w:color w:val="E36C0A" w:themeColor="accent6" w:themeShade="BF"/>
                <w:sz w:val="32"/>
                <w:szCs w:val="32"/>
              </w:rPr>
              <w:t>21</w:t>
            </w:r>
          </w:p>
          <w:p w:rsidR="00790B2F" w:rsidRDefault="00F6744B" w:rsidP="009843CD">
            <w:pPr>
              <w:jc w:val="center"/>
              <w:rPr>
                <w:rFonts w:asciiTheme="majorHAnsi" w:hAnsiTheme="majorHAnsi"/>
                <w:b/>
                <w:color w:val="4A442A" w:themeColor="background2" w:themeShade="40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4A442A" w:themeColor="background2" w:themeShade="40"/>
                <w:sz w:val="32"/>
                <w:szCs w:val="32"/>
              </w:rPr>
              <w:t>S</w:t>
            </w:r>
            <w:r w:rsidR="001A4AB5" w:rsidRPr="00A54B4E">
              <w:rPr>
                <w:rFonts w:asciiTheme="majorHAnsi" w:hAnsiTheme="majorHAnsi"/>
                <w:b/>
                <w:color w:val="4A442A" w:themeColor="background2" w:themeShade="40"/>
                <w:sz w:val="32"/>
                <w:szCs w:val="32"/>
              </w:rPr>
              <w:t>che</w:t>
            </w:r>
            <w:r w:rsidR="009843CD">
              <w:rPr>
                <w:rFonts w:asciiTheme="majorHAnsi" w:hAnsiTheme="majorHAnsi"/>
                <w:b/>
                <w:color w:val="4A442A" w:themeColor="background2" w:themeShade="40"/>
                <w:sz w:val="32"/>
                <w:szCs w:val="32"/>
              </w:rPr>
              <w:t>d</w:t>
            </w:r>
            <w:r w:rsidR="001A4AB5" w:rsidRPr="00A54B4E">
              <w:rPr>
                <w:rFonts w:asciiTheme="majorHAnsi" w:hAnsiTheme="majorHAnsi"/>
                <w:b/>
                <w:color w:val="4A442A" w:themeColor="background2" w:themeShade="40"/>
                <w:sz w:val="32"/>
                <w:szCs w:val="32"/>
              </w:rPr>
              <w:t>ule of Classes</w:t>
            </w:r>
          </w:p>
          <w:p w:rsidR="00C652E9" w:rsidRPr="00A54B4E" w:rsidRDefault="00C652E9" w:rsidP="009843CD">
            <w:pPr>
              <w:jc w:val="center"/>
              <w:rPr>
                <w:rFonts w:asciiTheme="majorHAnsi" w:hAnsiTheme="majorHAnsi"/>
                <w:b/>
                <w:bCs/>
                <w:color w:val="E36C0A" w:themeColor="accent6" w:themeShade="BF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4A442A" w:themeColor="background2" w:themeShade="40"/>
                <w:sz w:val="32"/>
                <w:szCs w:val="32"/>
              </w:rPr>
              <w:t>(subject to change)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="-95" w:tblpY="204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45"/>
        <w:gridCol w:w="810"/>
        <w:gridCol w:w="900"/>
        <w:gridCol w:w="2520"/>
        <w:gridCol w:w="952"/>
        <w:gridCol w:w="857"/>
        <w:gridCol w:w="270"/>
        <w:gridCol w:w="1071"/>
        <w:gridCol w:w="990"/>
        <w:gridCol w:w="1355"/>
      </w:tblGrid>
      <w:tr w:rsidR="00FB3DB4" w:rsidRPr="002B599A" w:rsidTr="00F36D3A">
        <w:trPr>
          <w:trHeight w:val="403"/>
        </w:trPr>
        <w:tc>
          <w:tcPr>
            <w:tcW w:w="1345" w:type="dxa"/>
            <w:shd w:val="clear" w:color="auto" w:fill="E36C0A" w:themeFill="accent6" w:themeFillShade="BF"/>
            <w:vAlign w:val="center"/>
          </w:tcPr>
          <w:p w:rsidR="00FB3DB4" w:rsidRPr="002B599A" w:rsidRDefault="00A4729B" w:rsidP="00F36D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COURSE</w:t>
            </w:r>
          </w:p>
        </w:tc>
        <w:tc>
          <w:tcPr>
            <w:tcW w:w="810" w:type="dxa"/>
            <w:shd w:val="clear" w:color="auto" w:fill="E36C0A" w:themeFill="accent6" w:themeFillShade="BF"/>
            <w:vAlign w:val="center"/>
          </w:tcPr>
          <w:p w:rsidR="00FB3DB4" w:rsidRPr="002B599A" w:rsidRDefault="00FB3DB4" w:rsidP="00F36D3A">
            <w:pPr>
              <w:pStyle w:val="Heading2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SECT</w:t>
            </w:r>
          </w:p>
        </w:tc>
        <w:tc>
          <w:tcPr>
            <w:tcW w:w="900" w:type="dxa"/>
            <w:shd w:val="clear" w:color="auto" w:fill="E36C0A" w:themeFill="accent6" w:themeFillShade="BF"/>
            <w:vAlign w:val="center"/>
          </w:tcPr>
          <w:p w:rsidR="00FB3DB4" w:rsidRPr="002B599A" w:rsidRDefault="00FB3DB4" w:rsidP="00F36D3A">
            <w:pPr>
              <w:pStyle w:val="Heading2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CLASS</w:t>
            </w:r>
          </w:p>
        </w:tc>
        <w:tc>
          <w:tcPr>
            <w:tcW w:w="2520" w:type="dxa"/>
            <w:shd w:val="clear" w:color="auto" w:fill="E36C0A" w:themeFill="accent6" w:themeFillShade="BF"/>
            <w:vAlign w:val="center"/>
          </w:tcPr>
          <w:p w:rsidR="00FB3DB4" w:rsidRPr="002B599A" w:rsidRDefault="00FB3DB4" w:rsidP="00F36D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TITLE</w:t>
            </w:r>
          </w:p>
        </w:tc>
        <w:tc>
          <w:tcPr>
            <w:tcW w:w="952" w:type="dxa"/>
            <w:shd w:val="clear" w:color="auto" w:fill="E36C0A" w:themeFill="accent6" w:themeFillShade="BF"/>
            <w:vAlign w:val="center"/>
          </w:tcPr>
          <w:p w:rsidR="00FB3DB4" w:rsidRPr="002B599A" w:rsidRDefault="00FB3DB4" w:rsidP="00F36D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INST</w:t>
            </w:r>
          </w:p>
        </w:tc>
        <w:tc>
          <w:tcPr>
            <w:tcW w:w="2198" w:type="dxa"/>
            <w:gridSpan w:val="3"/>
            <w:shd w:val="clear" w:color="auto" w:fill="E36C0A" w:themeFill="accent6" w:themeFillShade="BF"/>
            <w:vAlign w:val="center"/>
          </w:tcPr>
          <w:p w:rsidR="00FB3DB4" w:rsidRPr="002B599A" w:rsidRDefault="00FB3DB4" w:rsidP="00F36D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990" w:type="dxa"/>
            <w:shd w:val="clear" w:color="auto" w:fill="E36C0A" w:themeFill="accent6" w:themeFillShade="BF"/>
            <w:vAlign w:val="center"/>
          </w:tcPr>
          <w:p w:rsidR="00FB3DB4" w:rsidRPr="002B599A" w:rsidRDefault="00FB3DB4" w:rsidP="00F36D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DAYS</w:t>
            </w:r>
          </w:p>
        </w:tc>
        <w:tc>
          <w:tcPr>
            <w:tcW w:w="1355" w:type="dxa"/>
            <w:shd w:val="clear" w:color="auto" w:fill="E36C0A" w:themeFill="accent6" w:themeFillShade="BF"/>
            <w:vAlign w:val="center"/>
          </w:tcPr>
          <w:p w:rsidR="00FB3DB4" w:rsidRPr="002B599A" w:rsidRDefault="00FB3DB4" w:rsidP="00F36D3A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RM</w:t>
            </w:r>
          </w:p>
        </w:tc>
      </w:tr>
      <w:tr w:rsidR="00706FB0" w:rsidRPr="002B599A" w:rsidTr="00F36D3A">
        <w:trPr>
          <w:trHeight w:val="360"/>
        </w:trPr>
        <w:tc>
          <w:tcPr>
            <w:tcW w:w="1345" w:type="dxa"/>
            <w:vAlign w:val="center"/>
          </w:tcPr>
          <w:p w:rsidR="00706FB0" w:rsidRDefault="00706FB0" w:rsidP="00706FB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2000</w:t>
            </w:r>
          </w:p>
        </w:tc>
        <w:tc>
          <w:tcPr>
            <w:tcW w:w="81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</w:tc>
        <w:tc>
          <w:tcPr>
            <w:tcW w:w="90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Personal Finance</w:t>
            </w:r>
          </w:p>
        </w:tc>
        <w:tc>
          <w:tcPr>
            <w:tcW w:w="952" w:type="dxa"/>
            <w:vAlign w:val="center"/>
          </w:tcPr>
          <w:p w:rsidR="00706FB0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Starks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706FB0" w:rsidRDefault="00706FB0" w:rsidP="00706FB0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4:30p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FB0" w:rsidRPr="002B599A" w:rsidRDefault="00706FB0" w:rsidP="00706FB0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06FB0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5:45p</w:t>
            </w:r>
          </w:p>
        </w:tc>
        <w:tc>
          <w:tcPr>
            <w:tcW w:w="990" w:type="dxa"/>
            <w:vAlign w:val="center"/>
          </w:tcPr>
          <w:p w:rsidR="00706FB0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</w:t>
            </w:r>
          </w:p>
        </w:tc>
        <w:tc>
          <w:tcPr>
            <w:tcW w:w="1355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706FB0" w:rsidRPr="002B599A" w:rsidTr="00F36D3A">
        <w:trPr>
          <w:trHeight w:val="360"/>
        </w:trPr>
        <w:tc>
          <w:tcPr>
            <w:tcW w:w="1345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</w:t>
            </w: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IN 3000</w:t>
            </w:r>
          </w:p>
        </w:tc>
        <w:tc>
          <w:tcPr>
            <w:tcW w:w="81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</w:tc>
        <w:tc>
          <w:tcPr>
            <w:tcW w:w="90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Business Finance</w:t>
            </w:r>
          </w:p>
        </w:tc>
        <w:tc>
          <w:tcPr>
            <w:tcW w:w="952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Li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706FB0" w:rsidRPr="002B599A" w:rsidRDefault="00706FB0" w:rsidP="00706FB0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1:00p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FB0" w:rsidRPr="002B599A" w:rsidRDefault="00706FB0" w:rsidP="00706FB0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2:15p</w:t>
            </w:r>
          </w:p>
        </w:tc>
        <w:tc>
          <w:tcPr>
            <w:tcW w:w="99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TR</w:t>
            </w:r>
          </w:p>
        </w:tc>
        <w:tc>
          <w:tcPr>
            <w:tcW w:w="1355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Remote</w:t>
            </w:r>
          </w:p>
        </w:tc>
      </w:tr>
      <w:tr w:rsidR="00706FB0" w:rsidRPr="002B599A" w:rsidTr="00706FB0">
        <w:trPr>
          <w:trHeight w:val="360"/>
        </w:trPr>
        <w:tc>
          <w:tcPr>
            <w:tcW w:w="1345" w:type="dxa"/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3000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Business Finance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Li</w:t>
            </w:r>
          </w:p>
        </w:tc>
        <w:tc>
          <w:tcPr>
            <w:tcW w:w="857" w:type="dxa"/>
            <w:tcBorders>
              <w:right w:val="nil"/>
            </w:tcBorders>
            <w:shd w:val="clear" w:color="auto" w:fill="auto"/>
            <w:vAlign w:val="center"/>
          </w:tcPr>
          <w:p w:rsidR="00706FB0" w:rsidRPr="002B599A" w:rsidRDefault="00706FB0" w:rsidP="00706FB0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4:00p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FB0" w:rsidRPr="002B599A" w:rsidRDefault="00706FB0" w:rsidP="00706FB0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5:15p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TR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706FB0" w:rsidRPr="002B599A" w:rsidTr="00A12721">
        <w:trPr>
          <w:trHeight w:val="360"/>
        </w:trPr>
        <w:tc>
          <w:tcPr>
            <w:tcW w:w="1345" w:type="dxa"/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3000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Business Finance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Slates</w:t>
            </w:r>
          </w:p>
        </w:tc>
        <w:tc>
          <w:tcPr>
            <w:tcW w:w="857" w:type="dxa"/>
            <w:tcBorders>
              <w:right w:val="nil"/>
            </w:tcBorders>
            <w:shd w:val="clear" w:color="auto" w:fill="auto"/>
            <w:vAlign w:val="center"/>
          </w:tcPr>
          <w:p w:rsidR="00706FB0" w:rsidRPr="002B599A" w:rsidRDefault="00706FB0" w:rsidP="00706FB0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9:30a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FB0" w:rsidRPr="002B599A" w:rsidRDefault="00706FB0" w:rsidP="00706FB0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10:20a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706FB0" w:rsidRPr="002B599A" w:rsidTr="00F36D3A">
        <w:trPr>
          <w:trHeight w:val="360"/>
        </w:trPr>
        <w:tc>
          <w:tcPr>
            <w:tcW w:w="1345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3000</w:t>
            </w:r>
          </w:p>
        </w:tc>
        <w:tc>
          <w:tcPr>
            <w:tcW w:w="81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1004</w:t>
            </w:r>
          </w:p>
        </w:tc>
        <w:tc>
          <w:tcPr>
            <w:tcW w:w="90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Business Finance</w:t>
            </w:r>
          </w:p>
        </w:tc>
        <w:tc>
          <w:tcPr>
            <w:tcW w:w="952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Slates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706FB0" w:rsidRPr="002B599A" w:rsidRDefault="00706FB0" w:rsidP="00706FB0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10:30a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FB0" w:rsidRPr="002B599A" w:rsidRDefault="00706FB0" w:rsidP="00706FB0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11:20a</w:t>
            </w:r>
          </w:p>
        </w:tc>
        <w:tc>
          <w:tcPr>
            <w:tcW w:w="99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706FB0" w:rsidRPr="002B599A" w:rsidTr="00F36D3A">
        <w:trPr>
          <w:trHeight w:val="360"/>
        </w:trPr>
        <w:tc>
          <w:tcPr>
            <w:tcW w:w="1345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3000</w:t>
            </w:r>
          </w:p>
        </w:tc>
        <w:tc>
          <w:tcPr>
            <w:tcW w:w="81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1005</w:t>
            </w:r>
          </w:p>
        </w:tc>
        <w:tc>
          <w:tcPr>
            <w:tcW w:w="90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Business Finance</w:t>
            </w:r>
          </w:p>
        </w:tc>
        <w:tc>
          <w:tcPr>
            <w:tcW w:w="952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Slates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706FB0" w:rsidRPr="002B599A" w:rsidRDefault="00706FB0" w:rsidP="00706FB0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3:30p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FB0" w:rsidRPr="002B599A" w:rsidRDefault="00706FB0" w:rsidP="00706FB0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4:20p</w:t>
            </w:r>
          </w:p>
        </w:tc>
        <w:tc>
          <w:tcPr>
            <w:tcW w:w="99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706FB0" w:rsidRPr="002B599A" w:rsidTr="00706FB0">
        <w:trPr>
          <w:trHeight w:val="360"/>
        </w:trPr>
        <w:tc>
          <w:tcPr>
            <w:tcW w:w="1345" w:type="dxa"/>
            <w:shd w:val="clear" w:color="auto" w:fill="auto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3000</w:t>
            </w:r>
          </w:p>
        </w:tc>
        <w:tc>
          <w:tcPr>
            <w:tcW w:w="81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Business Finance</w:t>
            </w:r>
          </w:p>
        </w:tc>
        <w:tc>
          <w:tcPr>
            <w:tcW w:w="952" w:type="dxa"/>
            <w:vAlign w:val="center"/>
          </w:tcPr>
          <w:p w:rsidR="00706FB0" w:rsidRPr="002B599A" w:rsidRDefault="00D21403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706FB0" w:rsidRPr="002B599A" w:rsidRDefault="00706FB0" w:rsidP="00706FB0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4:30p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6FB0" w:rsidRPr="002B599A" w:rsidRDefault="00706FB0" w:rsidP="00706FB0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706FB0" w:rsidRPr="002B599A" w:rsidRDefault="00706FB0" w:rsidP="00706FB0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5:45p</w:t>
            </w:r>
          </w:p>
        </w:tc>
        <w:tc>
          <w:tcPr>
            <w:tcW w:w="990" w:type="dxa"/>
            <w:vAlign w:val="center"/>
          </w:tcPr>
          <w:p w:rsidR="00706FB0" w:rsidRPr="002B599A" w:rsidRDefault="00706FB0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</w:t>
            </w:r>
          </w:p>
        </w:tc>
        <w:tc>
          <w:tcPr>
            <w:tcW w:w="1355" w:type="dxa"/>
            <w:vAlign w:val="center"/>
          </w:tcPr>
          <w:p w:rsidR="00706FB0" w:rsidRPr="002B599A" w:rsidRDefault="00D21403" w:rsidP="00706FB0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9F795A">
        <w:trPr>
          <w:trHeight w:val="360"/>
        </w:trPr>
        <w:tc>
          <w:tcPr>
            <w:tcW w:w="1345" w:type="dxa"/>
            <w:shd w:val="clear" w:color="auto" w:fill="auto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3000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101W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Business Finance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Bae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D21403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9F795A" w:rsidRPr="002B599A" w:rsidRDefault="00D21403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9F795A" w:rsidRPr="002B599A" w:rsidRDefault="00D21403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Online</w:t>
            </w:r>
          </w:p>
        </w:tc>
      </w:tr>
      <w:tr w:rsidR="009F795A" w:rsidRPr="002B599A" w:rsidTr="009F795A">
        <w:trPr>
          <w:trHeight w:val="360"/>
        </w:trPr>
        <w:tc>
          <w:tcPr>
            <w:tcW w:w="1345" w:type="dxa"/>
            <w:shd w:val="clear" w:color="auto" w:fill="auto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3400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Financial Markets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Slates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12:30p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1:20p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Remote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3500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Corporate Finance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Bae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9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:30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10: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45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a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TR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Remote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4130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 xml:space="preserve"> MBA 5590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1001 5001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Personal Fin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Planning 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Bollin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9:30a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10:20a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4140</w:t>
            </w:r>
          </w:p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MBA 5570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5001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Retirement and Employee Benefits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Bollin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10:30a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11:20a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4210</w:t>
            </w: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br/>
              <w:t>MBA 5560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br/>
              <w:t>5001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Risk Mgmt. &amp;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br/>
              <w:t>Insurance Planning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D21403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</w:t>
            </w:r>
            <w:r w:rsidR="00D21403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tarks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11:30a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12:20p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4350</w:t>
            </w: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br/>
              <w:t>MBA 5510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br/>
              <w:t>5001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Investment Analysis 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Rush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2:30p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3:45p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TR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Remote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4550</w:t>
            </w:r>
          </w:p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MBA 5520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5001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Fin. Mgmt. w/Excel Applications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Li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11:30a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12:45p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TR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Remote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INS 2100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Intro Insurance &amp; Careers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Starks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12:30p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1:20p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</w:t>
            </w:r>
          </w:p>
        </w:tc>
        <w:tc>
          <w:tcPr>
            <w:tcW w:w="1355" w:type="dxa"/>
            <w:vAlign w:val="center"/>
          </w:tcPr>
          <w:p w:rsidR="009F795A" w:rsidRPr="00C72822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 xml:space="preserve">INS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32</w:t>
            </w: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20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Life &amp; Health Insurance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Starks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8:30a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9:20a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 xml:space="preserve">INS 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323</w:t>
            </w: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0</w:t>
            </w:r>
          </w:p>
        </w:tc>
        <w:tc>
          <w:tcPr>
            <w:tcW w:w="81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1001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Property &amp; Liability </w:t>
            </w:r>
            <w:proofErr w:type="spellStart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Insur</w:t>
            </w:r>
            <w:proofErr w:type="spellEnd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  <w:tc>
          <w:tcPr>
            <w:tcW w:w="952" w:type="dxa"/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Starks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9:30a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10:20a</w:t>
            </w:r>
          </w:p>
        </w:tc>
        <w:tc>
          <w:tcPr>
            <w:tcW w:w="99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MWF</w:t>
            </w:r>
          </w:p>
        </w:tc>
        <w:tc>
          <w:tcPr>
            <w:tcW w:w="1355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MBA 6060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5001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Fin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Mgmt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. Global </w:t>
            </w:r>
            <w:proofErr w:type="spellStart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Envir</w:t>
            </w:r>
            <w:proofErr w:type="spellEnd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Rush</w:t>
            </w:r>
          </w:p>
        </w:tc>
        <w:tc>
          <w:tcPr>
            <w:tcW w:w="857" w:type="dxa"/>
            <w:tcBorders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1:00p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2:15p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TR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9F795A" w:rsidRPr="002B599A" w:rsidTr="00F36D3A">
        <w:trPr>
          <w:trHeight w:val="360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MBA 6060P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5001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Fin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Mgmt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. Global </w:t>
            </w:r>
            <w:proofErr w:type="spellStart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Envir</w:t>
            </w:r>
            <w:proofErr w:type="spellEnd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Rush</w:t>
            </w:r>
          </w:p>
        </w:tc>
        <w:tc>
          <w:tcPr>
            <w:tcW w:w="857" w:type="dxa"/>
            <w:tcBorders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6:00p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9F795A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9:00p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T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Hybrid</w:t>
            </w:r>
          </w:p>
        </w:tc>
      </w:tr>
      <w:tr w:rsidR="0019320B" w:rsidRPr="002B599A" w:rsidTr="00A21F74">
        <w:trPr>
          <w:trHeight w:val="360"/>
        </w:trPr>
        <w:tc>
          <w:tcPr>
            <w:tcW w:w="1345" w:type="dxa"/>
            <w:vAlign w:val="center"/>
          </w:tcPr>
          <w:p w:rsidR="0019320B" w:rsidRPr="002B599A" w:rsidRDefault="0019320B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MBA 6060</w:t>
            </w:r>
          </w:p>
        </w:tc>
        <w:tc>
          <w:tcPr>
            <w:tcW w:w="810" w:type="dxa"/>
            <w:vAlign w:val="center"/>
          </w:tcPr>
          <w:p w:rsidR="0019320B" w:rsidRPr="002B599A" w:rsidRDefault="0019320B" w:rsidP="00157A3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601W</w:t>
            </w:r>
          </w:p>
        </w:tc>
        <w:tc>
          <w:tcPr>
            <w:tcW w:w="900" w:type="dxa"/>
            <w:vAlign w:val="center"/>
          </w:tcPr>
          <w:p w:rsidR="0019320B" w:rsidRPr="002B599A" w:rsidRDefault="0019320B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19320B" w:rsidRPr="002B599A" w:rsidRDefault="0019320B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Fin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Mgmt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. Global </w:t>
            </w:r>
            <w:proofErr w:type="spellStart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Envir</w:t>
            </w:r>
            <w:proofErr w:type="spellEnd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</w:p>
        </w:tc>
        <w:tc>
          <w:tcPr>
            <w:tcW w:w="952" w:type="dxa"/>
            <w:vAlign w:val="center"/>
          </w:tcPr>
          <w:p w:rsidR="0019320B" w:rsidRPr="002B599A" w:rsidRDefault="0019320B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Bae</w:t>
            </w:r>
          </w:p>
        </w:tc>
        <w:tc>
          <w:tcPr>
            <w:tcW w:w="2198" w:type="dxa"/>
            <w:gridSpan w:val="3"/>
            <w:vAlign w:val="center"/>
          </w:tcPr>
          <w:p w:rsidR="0019320B" w:rsidRPr="002B599A" w:rsidRDefault="0019320B" w:rsidP="0019320B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Online MBA</w:t>
            </w:r>
          </w:p>
        </w:tc>
        <w:tc>
          <w:tcPr>
            <w:tcW w:w="990" w:type="dxa"/>
            <w:vAlign w:val="center"/>
          </w:tcPr>
          <w:p w:rsidR="0019320B" w:rsidRPr="002B599A" w:rsidRDefault="0019320B" w:rsidP="00857B23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7E1</w:t>
            </w:r>
          </w:p>
        </w:tc>
        <w:tc>
          <w:tcPr>
            <w:tcW w:w="1355" w:type="dxa"/>
            <w:vAlign w:val="center"/>
          </w:tcPr>
          <w:p w:rsidR="0019320B" w:rsidRPr="002B599A" w:rsidRDefault="0019320B" w:rsidP="00857B23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Online</w:t>
            </w:r>
          </w:p>
        </w:tc>
      </w:tr>
      <w:tr w:rsidR="0019320B" w:rsidRPr="002B599A" w:rsidTr="00477925">
        <w:trPr>
          <w:trHeight w:val="360"/>
        </w:trPr>
        <w:tc>
          <w:tcPr>
            <w:tcW w:w="1345" w:type="dxa"/>
            <w:vAlign w:val="center"/>
          </w:tcPr>
          <w:p w:rsidR="0019320B" w:rsidRPr="002B599A" w:rsidRDefault="0019320B" w:rsidP="00857B23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MBA 6060</w:t>
            </w:r>
          </w:p>
        </w:tc>
        <w:tc>
          <w:tcPr>
            <w:tcW w:w="810" w:type="dxa"/>
            <w:vAlign w:val="center"/>
          </w:tcPr>
          <w:p w:rsidR="0019320B" w:rsidRPr="002B599A" w:rsidRDefault="0019320B" w:rsidP="00157A37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602W</w:t>
            </w:r>
          </w:p>
        </w:tc>
        <w:tc>
          <w:tcPr>
            <w:tcW w:w="900" w:type="dxa"/>
            <w:vAlign w:val="center"/>
          </w:tcPr>
          <w:p w:rsidR="0019320B" w:rsidRPr="002B599A" w:rsidRDefault="0019320B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19320B" w:rsidRPr="002B599A" w:rsidRDefault="0019320B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Fin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  <w:r w:rsidRPr="002B599A"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 Mgmt</w:t>
            </w: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 xml:space="preserve">. Global </w:t>
            </w:r>
            <w:proofErr w:type="spellStart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Envir</w:t>
            </w:r>
            <w:proofErr w:type="spellEnd"/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.</w:t>
            </w:r>
          </w:p>
        </w:tc>
        <w:tc>
          <w:tcPr>
            <w:tcW w:w="952" w:type="dxa"/>
            <w:vAlign w:val="center"/>
          </w:tcPr>
          <w:p w:rsidR="0019320B" w:rsidRPr="002B599A" w:rsidRDefault="0019320B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Bae</w:t>
            </w:r>
          </w:p>
        </w:tc>
        <w:tc>
          <w:tcPr>
            <w:tcW w:w="2198" w:type="dxa"/>
            <w:gridSpan w:val="3"/>
            <w:vAlign w:val="center"/>
          </w:tcPr>
          <w:p w:rsidR="0019320B" w:rsidRPr="002B599A" w:rsidRDefault="0019320B" w:rsidP="0019320B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Online MBA</w:t>
            </w:r>
          </w:p>
        </w:tc>
        <w:tc>
          <w:tcPr>
            <w:tcW w:w="990" w:type="dxa"/>
            <w:vAlign w:val="center"/>
          </w:tcPr>
          <w:p w:rsidR="0019320B" w:rsidRPr="002B599A" w:rsidRDefault="0019320B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7E2</w:t>
            </w:r>
          </w:p>
        </w:tc>
        <w:tc>
          <w:tcPr>
            <w:tcW w:w="1355" w:type="dxa"/>
            <w:vAlign w:val="center"/>
          </w:tcPr>
          <w:p w:rsidR="0019320B" w:rsidRPr="002B599A" w:rsidRDefault="0019320B" w:rsidP="00857B23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Online</w:t>
            </w:r>
          </w:p>
        </w:tc>
      </w:tr>
      <w:tr w:rsidR="009F795A" w:rsidRPr="002B599A" w:rsidTr="009F795A">
        <w:trPr>
          <w:trHeight w:val="360"/>
        </w:trPr>
        <w:tc>
          <w:tcPr>
            <w:tcW w:w="1345" w:type="dxa"/>
            <w:shd w:val="clear" w:color="auto" w:fill="auto"/>
            <w:vAlign w:val="center"/>
          </w:tcPr>
          <w:p w:rsidR="009F795A" w:rsidRPr="002B599A" w:rsidRDefault="00857B23" w:rsidP="009F795A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FIN 4910</w:t>
            </w:r>
          </w:p>
        </w:tc>
        <w:tc>
          <w:tcPr>
            <w:tcW w:w="810" w:type="dxa"/>
            <w:vAlign w:val="center"/>
          </w:tcPr>
          <w:p w:rsidR="009F795A" w:rsidRPr="002B599A" w:rsidRDefault="00857B23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900" w:type="dxa"/>
            <w:vAlign w:val="center"/>
          </w:tcPr>
          <w:p w:rsidR="009F795A" w:rsidRPr="002B599A" w:rsidRDefault="009F795A" w:rsidP="009F795A">
            <w:pPr>
              <w:jc w:val="center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9F795A" w:rsidRPr="002B599A" w:rsidRDefault="00857B23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Independent Study in Finance</w:t>
            </w:r>
          </w:p>
        </w:tc>
        <w:tc>
          <w:tcPr>
            <w:tcW w:w="952" w:type="dxa"/>
            <w:vAlign w:val="center"/>
          </w:tcPr>
          <w:p w:rsidR="009F795A" w:rsidRPr="002B599A" w:rsidRDefault="00857B23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857" w:type="dxa"/>
            <w:tcBorders>
              <w:right w:val="nil"/>
            </w:tcBorders>
            <w:vAlign w:val="center"/>
          </w:tcPr>
          <w:p w:rsidR="009F795A" w:rsidRPr="002B599A" w:rsidRDefault="009F795A" w:rsidP="009F795A">
            <w:pPr>
              <w:jc w:val="right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795A" w:rsidRPr="002B599A" w:rsidRDefault="00857B23" w:rsidP="009F795A">
            <w:pPr>
              <w:widowControl w:val="0"/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9F795A" w:rsidRPr="002B599A" w:rsidRDefault="009F795A" w:rsidP="009F795A">
            <w:pP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9F795A" w:rsidRPr="002B599A" w:rsidRDefault="00857B23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9F795A" w:rsidRPr="002B599A" w:rsidRDefault="00857B23" w:rsidP="009F795A">
            <w:pPr>
              <w:jc w:val="center"/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  <w:sz w:val="22"/>
                <w:szCs w:val="22"/>
              </w:rPr>
              <w:t>-</w:t>
            </w:r>
          </w:p>
        </w:tc>
      </w:tr>
    </w:tbl>
    <w:p w:rsidR="009F795A" w:rsidRDefault="009F795A" w:rsidP="00FF4A30">
      <w:pPr>
        <w:pStyle w:val="Heading1"/>
        <w:jc w:val="left"/>
        <w:rPr>
          <w:b w:val="0"/>
          <w:bCs w:val="0"/>
        </w:rPr>
      </w:pPr>
    </w:p>
    <w:p w:rsidR="009F795A" w:rsidRPr="009F795A" w:rsidRDefault="009F795A" w:rsidP="009F795A"/>
    <w:p w:rsidR="009F795A" w:rsidRPr="009F795A" w:rsidRDefault="009F795A" w:rsidP="009F795A"/>
    <w:p w:rsidR="009F795A" w:rsidRPr="009F795A" w:rsidRDefault="009F795A" w:rsidP="009F795A"/>
    <w:p w:rsidR="00B77208" w:rsidRPr="009F795A" w:rsidRDefault="009F795A" w:rsidP="009F795A">
      <w:pPr>
        <w:tabs>
          <w:tab w:val="left" w:pos="2010"/>
        </w:tabs>
      </w:pPr>
      <w:r>
        <w:tab/>
      </w:r>
    </w:p>
    <w:sectPr w:rsidR="00B77208" w:rsidRPr="009F795A" w:rsidSect="00CD5563">
      <w:headerReference w:type="default" r:id="rId7"/>
      <w:footerReference w:type="default" r:id="rId8"/>
      <w:pgSz w:w="12240" w:h="15840" w:code="1"/>
      <w:pgMar w:top="720" w:right="720" w:bottom="720" w:left="72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D0" w:rsidRDefault="003E68D0" w:rsidP="00F40886">
      <w:r>
        <w:separator/>
      </w:r>
    </w:p>
  </w:endnote>
  <w:endnote w:type="continuationSeparator" w:id="0">
    <w:p w:rsidR="003E68D0" w:rsidRDefault="003E68D0" w:rsidP="00F4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8B" w:rsidRDefault="00F7518B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E96B70">
      <w:rPr>
        <w:noProof/>
      </w:rPr>
      <w:t>9/29/2020</w:t>
    </w:r>
    <w:r>
      <w:fldChar w:fldCharType="end"/>
    </w:r>
    <w:r w:rsidR="00086AA5">
      <w:t xml:space="preserve">        </w:t>
    </w:r>
    <w:r w:rsidR="002E3E84">
      <w:t>SP</w:t>
    </w:r>
    <w:r w:rsidR="00CC7515">
      <w:t>RING</w:t>
    </w:r>
    <w:r w:rsidR="002E3E84">
      <w:t xml:space="preserve"> </w:t>
    </w:r>
    <w:r w:rsidR="00CC7515">
      <w:t>20</w:t>
    </w:r>
    <w:r w:rsidR="009F795A">
      <w:t>21</w:t>
    </w:r>
    <w:r w:rsidR="005307E4">
      <w:t xml:space="preserve"> DRAFT </w:t>
    </w:r>
    <w:r w:rsidR="002E3E84">
      <w:t>Finance Schedule</w:t>
    </w:r>
    <w:r>
      <w:t>.docx</w:t>
    </w:r>
  </w:p>
  <w:p w:rsidR="00F7518B" w:rsidRDefault="00F75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D0" w:rsidRDefault="003E68D0" w:rsidP="00F40886">
      <w:r>
        <w:separator/>
      </w:r>
    </w:p>
  </w:footnote>
  <w:footnote w:type="continuationSeparator" w:id="0">
    <w:p w:rsidR="003E68D0" w:rsidRDefault="003E68D0" w:rsidP="00F4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560850"/>
      <w:docPartObj>
        <w:docPartGallery w:val="Watermarks"/>
        <w:docPartUnique/>
      </w:docPartObj>
    </w:sdtPr>
    <w:sdtEndPr/>
    <w:sdtContent>
      <w:p w:rsidR="005307E4" w:rsidRDefault="003E68D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1E"/>
    <w:rsid w:val="00007FAC"/>
    <w:rsid w:val="00014D3C"/>
    <w:rsid w:val="00042E2D"/>
    <w:rsid w:val="00046E20"/>
    <w:rsid w:val="00050E92"/>
    <w:rsid w:val="00065A67"/>
    <w:rsid w:val="00076609"/>
    <w:rsid w:val="000817F5"/>
    <w:rsid w:val="0008311D"/>
    <w:rsid w:val="0008630A"/>
    <w:rsid w:val="0008679B"/>
    <w:rsid w:val="00086AA5"/>
    <w:rsid w:val="000B4BEF"/>
    <w:rsid w:val="000C3B7F"/>
    <w:rsid w:val="000C4021"/>
    <w:rsid w:val="000D0926"/>
    <w:rsid w:val="000E071D"/>
    <w:rsid w:val="000F6459"/>
    <w:rsid w:val="00105BCD"/>
    <w:rsid w:val="00110716"/>
    <w:rsid w:val="00115A8A"/>
    <w:rsid w:val="00125320"/>
    <w:rsid w:val="00157A37"/>
    <w:rsid w:val="00164B5B"/>
    <w:rsid w:val="00166790"/>
    <w:rsid w:val="00185D72"/>
    <w:rsid w:val="001906E3"/>
    <w:rsid w:val="0019320B"/>
    <w:rsid w:val="00195C78"/>
    <w:rsid w:val="001A4AB5"/>
    <w:rsid w:val="001C1EFB"/>
    <w:rsid w:val="001F5B1F"/>
    <w:rsid w:val="0020261E"/>
    <w:rsid w:val="00205864"/>
    <w:rsid w:val="00223393"/>
    <w:rsid w:val="002557A4"/>
    <w:rsid w:val="00261CD7"/>
    <w:rsid w:val="00263ED9"/>
    <w:rsid w:val="00283AA6"/>
    <w:rsid w:val="002A071F"/>
    <w:rsid w:val="002A1D18"/>
    <w:rsid w:val="002A4C6D"/>
    <w:rsid w:val="002B0237"/>
    <w:rsid w:val="002B16E4"/>
    <w:rsid w:val="002B1DD8"/>
    <w:rsid w:val="002B599A"/>
    <w:rsid w:val="002D4547"/>
    <w:rsid w:val="002D7939"/>
    <w:rsid w:val="002E21F0"/>
    <w:rsid w:val="002E2F79"/>
    <w:rsid w:val="002E3E84"/>
    <w:rsid w:val="002E5E0F"/>
    <w:rsid w:val="003158CE"/>
    <w:rsid w:val="003345F8"/>
    <w:rsid w:val="003625E5"/>
    <w:rsid w:val="00366B80"/>
    <w:rsid w:val="003723DC"/>
    <w:rsid w:val="00386B98"/>
    <w:rsid w:val="00397250"/>
    <w:rsid w:val="003A2B00"/>
    <w:rsid w:val="003C56AA"/>
    <w:rsid w:val="003D38D6"/>
    <w:rsid w:val="003E2090"/>
    <w:rsid w:val="003E68D0"/>
    <w:rsid w:val="0040226D"/>
    <w:rsid w:val="004106C2"/>
    <w:rsid w:val="00415F4F"/>
    <w:rsid w:val="0042606C"/>
    <w:rsid w:val="0042686A"/>
    <w:rsid w:val="004729CC"/>
    <w:rsid w:val="00472D01"/>
    <w:rsid w:val="00481375"/>
    <w:rsid w:val="004A179C"/>
    <w:rsid w:val="004A3D7A"/>
    <w:rsid w:val="004B58EF"/>
    <w:rsid w:val="004B7E01"/>
    <w:rsid w:val="004D7B55"/>
    <w:rsid w:val="004E4166"/>
    <w:rsid w:val="00507714"/>
    <w:rsid w:val="00513B65"/>
    <w:rsid w:val="005213D2"/>
    <w:rsid w:val="00522F56"/>
    <w:rsid w:val="005258F1"/>
    <w:rsid w:val="005307E4"/>
    <w:rsid w:val="00550415"/>
    <w:rsid w:val="00556E89"/>
    <w:rsid w:val="00560768"/>
    <w:rsid w:val="00565576"/>
    <w:rsid w:val="00572571"/>
    <w:rsid w:val="00573227"/>
    <w:rsid w:val="005C768B"/>
    <w:rsid w:val="005D07A8"/>
    <w:rsid w:val="005D2C43"/>
    <w:rsid w:val="005D74E3"/>
    <w:rsid w:val="005D7539"/>
    <w:rsid w:val="005F1BC1"/>
    <w:rsid w:val="005F4018"/>
    <w:rsid w:val="005F4983"/>
    <w:rsid w:val="005F7FBA"/>
    <w:rsid w:val="00615FF9"/>
    <w:rsid w:val="00622697"/>
    <w:rsid w:val="00644F73"/>
    <w:rsid w:val="006475D9"/>
    <w:rsid w:val="0066486D"/>
    <w:rsid w:val="00664C9B"/>
    <w:rsid w:val="006659E8"/>
    <w:rsid w:val="00677BC5"/>
    <w:rsid w:val="00681C94"/>
    <w:rsid w:val="006859D5"/>
    <w:rsid w:val="00687EEE"/>
    <w:rsid w:val="00696895"/>
    <w:rsid w:val="006A1E66"/>
    <w:rsid w:val="006A4929"/>
    <w:rsid w:val="006B4471"/>
    <w:rsid w:val="006B5FF1"/>
    <w:rsid w:val="006C0A46"/>
    <w:rsid w:val="006E6743"/>
    <w:rsid w:val="00706FB0"/>
    <w:rsid w:val="0071368B"/>
    <w:rsid w:val="00724A3D"/>
    <w:rsid w:val="0074081A"/>
    <w:rsid w:val="00747518"/>
    <w:rsid w:val="00750A00"/>
    <w:rsid w:val="00750B92"/>
    <w:rsid w:val="00751E3C"/>
    <w:rsid w:val="0076509E"/>
    <w:rsid w:val="00767B86"/>
    <w:rsid w:val="007713D0"/>
    <w:rsid w:val="00790B2F"/>
    <w:rsid w:val="007A3120"/>
    <w:rsid w:val="007B065A"/>
    <w:rsid w:val="007C3F39"/>
    <w:rsid w:val="007C6713"/>
    <w:rsid w:val="007D29A6"/>
    <w:rsid w:val="007E34C3"/>
    <w:rsid w:val="007F269E"/>
    <w:rsid w:val="00803D8D"/>
    <w:rsid w:val="00857B23"/>
    <w:rsid w:val="008644D7"/>
    <w:rsid w:val="00874797"/>
    <w:rsid w:val="00875E6F"/>
    <w:rsid w:val="008B0C4D"/>
    <w:rsid w:val="008C2CEE"/>
    <w:rsid w:val="008E5482"/>
    <w:rsid w:val="008E5EC7"/>
    <w:rsid w:val="009006CC"/>
    <w:rsid w:val="00907F2A"/>
    <w:rsid w:val="009251CD"/>
    <w:rsid w:val="009256F4"/>
    <w:rsid w:val="00931D56"/>
    <w:rsid w:val="00942118"/>
    <w:rsid w:val="00943036"/>
    <w:rsid w:val="00952DF4"/>
    <w:rsid w:val="00964866"/>
    <w:rsid w:val="00974AC2"/>
    <w:rsid w:val="0098414D"/>
    <w:rsid w:val="009843CD"/>
    <w:rsid w:val="009A7841"/>
    <w:rsid w:val="009C2589"/>
    <w:rsid w:val="009C4A07"/>
    <w:rsid w:val="009C71E1"/>
    <w:rsid w:val="009E200A"/>
    <w:rsid w:val="009E78B9"/>
    <w:rsid w:val="009F795A"/>
    <w:rsid w:val="00A0149F"/>
    <w:rsid w:val="00A052E2"/>
    <w:rsid w:val="00A12721"/>
    <w:rsid w:val="00A132AC"/>
    <w:rsid w:val="00A27CA8"/>
    <w:rsid w:val="00A4729B"/>
    <w:rsid w:val="00A54B4E"/>
    <w:rsid w:val="00A62851"/>
    <w:rsid w:val="00A65B43"/>
    <w:rsid w:val="00A72070"/>
    <w:rsid w:val="00A80B01"/>
    <w:rsid w:val="00A86ED9"/>
    <w:rsid w:val="00AD4C57"/>
    <w:rsid w:val="00AE6C36"/>
    <w:rsid w:val="00B1376D"/>
    <w:rsid w:val="00B16B65"/>
    <w:rsid w:val="00B230D7"/>
    <w:rsid w:val="00B23987"/>
    <w:rsid w:val="00B268A3"/>
    <w:rsid w:val="00B31C96"/>
    <w:rsid w:val="00B32BB0"/>
    <w:rsid w:val="00B417BB"/>
    <w:rsid w:val="00B47396"/>
    <w:rsid w:val="00B63EC6"/>
    <w:rsid w:val="00B75646"/>
    <w:rsid w:val="00B77208"/>
    <w:rsid w:val="00B842EC"/>
    <w:rsid w:val="00BA7BF9"/>
    <w:rsid w:val="00BB2F61"/>
    <w:rsid w:val="00BC06FF"/>
    <w:rsid w:val="00BC2C5D"/>
    <w:rsid w:val="00BD2732"/>
    <w:rsid w:val="00C1163C"/>
    <w:rsid w:val="00C26420"/>
    <w:rsid w:val="00C33892"/>
    <w:rsid w:val="00C33CCC"/>
    <w:rsid w:val="00C50392"/>
    <w:rsid w:val="00C62F75"/>
    <w:rsid w:val="00C652E9"/>
    <w:rsid w:val="00C72822"/>
    <w:rsid w:val="00C93A61"/>
    <w:rsid w:val="00CC14BD"/>
    <w:rsid w:val="00CC482D"/>
    <w:rsid w:val="00CC7515"/>
    <w:rsid w:val="00CD115E"/>
    <w:rsid w:val="00CD159A"/>
    <w:rsid w:val="00CD398D"/>
    <w:rsid w:val="00CD4F1C"/>
    <w:rsid w:val="00CD5563"/>
    <w:rsid w:val="00CE4271"/>
    <w:rsid w:val="00CE503B"/>
    <w:rsid w:val="00CF4271"/>
    <w:rsid w:val="00CF67D1"/>
    <w:rsid w:val="00D00F64"/>
    <w:rsid w:val="00D0111D"/>
    <w:rsid w:val="00D023B5"/>
    <w:rsid w:val="00D10298"/>
    <w:rsid w:val="00D16786"/>
    <w:rsid w:val="00D21403"/>
    <w:rsid w:val="00D36A23"/>
    <w:rsid w:val="00D60BDF"/>
    <w:rsid w:val="00D6306F"/>
    <w:rsid w:val="00D679B9"/>
    <w:rsid w:val="00D94969"/>
    <w:rsid w:val="00D97453"/>
    <w:rsid w:val="00DA0C30"/>
    <w:rsid w:val="00DC21AB"/>
    <w:rsid w:val="00DC226B"/>
    <w:rsid w:val="00DE01F7"/>
    <w:rsid w:val="00DE4957"/>
    <w:rsid w:val="00E0319F"/>
    <w:rsid w:val="00E725BA"/>
    <w:rsid w:val="00E80ACE"/>
    <w:rsid w:val="00E96B70"/>
    <w:rsid w:val="00EA68EB"/>
    <w:rsid w:val="00EB22D6"/>
    <w:rsid w:val="00EB65D6"/>
    <w:rsid w:val="00EB6D28"/>
    <w:rsid w:val="00EC28F3"/>
    <w:rsid w:val="00EC2C02"/>
    <w:rsid w:val="00EC5D74"/>
    <w:rsid w:val="00ED0136"/>
    <w:rsid w:val="00F109E1"/>
    <w:rsid w:val="00F124E3"/>
    <w:rsid w:val="00F13DED"/>
    <w:rsid w:val="00F1673E"/>
    <w:rsid w:val="00F2782E"/>
    <w:rsid w:val="00F33F6E"/>
    <w:rsid w:val="00F36D3A"/>
    <w:rsid w:val="00F40886"/>
    <w:rsid w:val="00F42EF3"/>
    <w:rsid w:val="00F5347D"/>
    <w:rsid w:val="00F604A8"/>
    <w:rsid w:val="00F62F31"/>
    <w:rsid w:val="00F6744B"/>
    <w:rsid w:val="00F72FFC"/>
    <w:rsid w:val="00F7518B"/>
    <w:rsid w:val="00F85A51"/>
    <w:rsid w:val="00F85BEE"/>
    <w:rsid w:val="00FA3FDD"/>
    <w:rsid w:val="00FB3DB4"/>
    <w:rsid w:val="00FC4172"/>
    <w:rsid w:val="00FD3452"/>
    <w:rsid w:val="00FE2398"/>
    <w:rsid w:val="00FF36E6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D84100"/>
  <w15:docId w15:val="{B8759E61-1CE9-4359-BC5B-874FF973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6CC"/>
    <w:pPr>
      <w:keepNext/>
      <w:jc w:val="center"/>
      <w:outlineLvl w:val="0"/>
    </w:pPr>
    <w:rPr>
      <w:rFonts w:ascii="Souvenir Lt BT" w:hAnsi="Souvenir Lt BT"/>
      <w:b/>
      <w:bCs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9006CC"/>
    <w:pPr>
      <w:keepNext/>
      <w:outlineLvl w:val="1"/>
    </w:pPr>
    <w:rPr>
      <w:rFonts w:ascii="Souvenir Lt BT" w:hAnsi="Souvenir Lt BT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9006CC"/>
    <w:pPr>
      <w:keepNext/>
      <w:jc w:val="center"/>
      <w:outlineLvl w:val="2"/>
    </w:pPr>
    <w:rPr>
      <w:rFonts w:ascii="Souvenir Lt BT" w:hAnsi="Souvenir Lt BT"/>
      <w:b/>
      <w:bCs/>
      <w:i/>
      <w:iCs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9006CC"/>
    <w:pPr>
      <w:keepNext/>
      <w:jc w:val="center"/>
      <w:outlineLvl w:val="3"/>
    </w:pPr>
    <w:rPr>
      <w:rFonts w:ascii="Souvenir Lt BT" w:hAnsi="Souvenir Lt BT"/>
      <w:b/>
      <w:bCs/>
      <w:i/>
      <w:iCs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9006CC"/>
    <w:pPr>
      <w:keepNext/>
      <w:tabs>
        <w:tab w:val="left" w:pos="732"/>
      </w:tabs>
      <w:outlineLvl w:val="4"/>
    </w:pPr>
    <w:rPr>
      <w:rFonts w:ascii="Souvenir Lt BT" w:hAnsi="Souvenir Lt BT"/>
      <w:b/>
      <w:bCs/>
      <w:i/>
      <w:iCs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6CC"/>
    <w:rPr>
      <w:rFonts w:ascii="Souvenir Lt BT" w:hAnsi="Souvenir Lt BT"/>
      <w:b/>
      <w:bCs/>
      <w:sz w:val="26"/>
    </w:rPr>
  </w:style>
  <w:style w:type="character" w:customStyle="1" w:styleId="Heading2Char">
    <w:name w:val="Heading 2 Char"/>
    <w:basedOn w:val="DefaultParagraphFont"/>
    <w:link w:val="Heading2"/>
    <w:rsid w:val="009006CC"/>
    <w:rPr>
      <w:rFonts w:ascii="Souvenir Lt BT" w:hAnsi="Souvenir Lt BT"/>
      <w:b/>
      <w:bCs/>
      <w:sz w:val="26"/>
    </w:rPr>
  </w:style>
  <w:style w:type="character" w:customStyle="1" w:styleId="Heading3Char">
    <w:name w:val="Heading 3 Char"/>
    <w:basedOn w:val="DefaultParagraphFont"/>
    <w:link w:val="Heading3"/>
    <w:rsid w:val="009006CC"/>
    <w:rPr>
      <w:rFonts w:ascii="Souvenir Lt BT" w:hAnsi="Souvenir Lt BT"/>
      <w:b/>
      <w:bCs/>
      <w:i/>
      <w:iCs/>
      <w:sz w:val="40"/>
    </w:rPr>
  </w:style>
  <w:style w:type="character" w:customStyle="1" w:styleId="Heading4Char">
    <w:name w:val="Heading 4 Char"/>
    <w:basedOn w:val="DefaultParagraphFont"/>
    <w:link w:val="Heading4"/>
    <w:rsid w:val="009006CC"/>
    <w:rPr>
      <w:rFonts w:ascii="Souvenir Lt BT" w:hAnsi="Souvenir Lt BT"/>
      <w:b/>
      <w:bCs/>
      <w:i/>
      <w:iCs/>
      <w:sz w:val="26"/>
    </w:rPr>
  </w:style>
  <w:style w:type="character" w:customStyle="1" w:styleId="Heading5Char">
    <w:name w:val="Heading 5 Char"/>
    <w:basedOn w:val="DefaultParagraphFont"/>
    <w:link w:val="Heading5"/>
    <w:rsid w:val="009006CC"/>
    <w:rPr>
      <w:rFonts w:ascii="Souvenir Lt BT" w:hAnsi="Souvenir Lt BT"/>
      <w:b/>
      <w:bCs/>
      <w:i/>
      <w:iCs/>
      <w:sz w:val="26"/>
      <w:u w:val="single"/>
    </w:rPr>
  </w:style>
  <w:style w:type="character" w:styleId="Emphasis">
    <w:name w:val="Emphasis"/>
    <w:basedOn w:val="DefaultParagraphFont"/>
    <w:qFormat/>
    <w:rsid w:val="009006C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0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814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0207-EAC0-422F-8322-03688B8A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 CBA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Olivarez</dc:creator>
  <cp:lastModifiedBy>Sung Chul Bae</cp:lastModifiedBy>
  <cp:revision>12</cp:revision>
  <cp:lastPrinted>2019-04-15T18:20:00Z</cp:lastPrinted>
  <dcterms:created xsi:type="dcterms:W3CDTF">2020-09-29T18:32:00Z</dcterms:created>
  <dcterms:modified xsi:type="dcterms:W3CDTF">2020-09-29T19:16:00Z</dcterms:modified>
</cp:coreProperties>
</file>