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58FC6A" w14:textId="6BDF6F78" w:rsidR="00653505" w:rsidRPr="00653505" w:rsidRDefault="00653505" w:rsidP="00653505">
      <w:pPr>
        <w:rPr>
          <w:rFonts w:asciiTheme="minorHAnsi" w:eastAsia="Calibri" w:hAnsiTheme="minorHAnsi" w:cstheme="minorHAnsi"/>
        </w:rPr>
      </w:pPr>
      <w:bookmarkStart w:id="0" w:name="_GoBack"/>
      <w:bookmarkEnd w:id="0"/>
      <w:r w:rsidRPr="00F375A9">
        <w:rPr>
          <w:rFonts w:asciiTheme="minorHAnsi" w:eastAsia="Calibri" w:hAnsiTheme="minorHAnsi" w:cstheme="minorHAnsi"/>
          <w:b/>
        </w:rPr>
        <w:t>Instructor</w:t>
      </w:r>
      <w:r>
        <w:rPr>
          <w:rFonts w:asciiTheme="minorHAnsi" w:eastAsia="Calibri" w:hAnsiTheme="minorHAnsi" w:cstheme="minorHAnsi"/>
        </w:rPr>
        <w:t>: Dr. Stephen Rush, CFA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F375A9">
        <w:rPr>
          <w:rFonts w:asciiTheme="minorHAnsi" w:hAnsiTheme="minorHAnsi" w:cstheme="minorHAnsi"/>
          <w:b/>
        </w:rPr>
        <w:t>Phone:</w:t>
      </w:r>
      <w:r w:rsidRPr="00F375A9">
        <w:rPr>
          <w:rFonts w:asciiTheme="minorHAnsi" w:hAnsiTheme="minorHAnsi" w:cstheme="minorHAnsi"/>
        </w:rPr>
        <w:t xml:space="preserve"> 419.372.8972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375A9">
        <w:rPr>
          <w:rFonts w:asciiTheme="minorHAnsi" w:eastAsia="Calibri" w:hAnsiTheme="minorHAnsi" w:cstheme="minorHAnsi"/>
          <w:b/>
        </w:rPr>
        <w:t xml:space="preserve">E-mail: </w:t>
      </w:r>
      <w:hyperlink r:id="rId7">
        <w:r w:rsidRPr="00F375A9">
          <w:rPr>
            <w:rFonts w:asciiTheme="minorHAnsi" w:eastAsia="Calibri" w:hAnsiTheme="minorHAnsi" w:cstheme="minorHAnsi"/>
            <w:i/>
            <w:color w:val="1155CC"/>
            <w:u w:val="single"/>
          </w:rPr>
          <w:t>srrush@bgsu.edu</w:t>
        </w:r>
      </w:hyperlink>
    </w:p>
    <w:p w14:paraId="5C4E0A41" w14:textId="3E3691B8" w:rsidR="00653505" w:rsidRDefault="00653505" w:rsidP="00F20A89">
      <w:pPr>
        <w:spacing w:after="0" w:line="240" w:lineRule="auto"/>
        <w:contextualSpacing/>
        <w:rPr>
          <w:rFonts w:asciiTheme="minorHAnsi" w:eastAsia="Calibri" w:hAnsiTheme="minorHAnsi" w:cstheme="minorHAnsi"/>
        </w:rPr>
      </w:pPr>
      <w:bookmarkStart w:id="1" w:name="_gjdgxs" w:colFirst="0" w:colLast="0"/>
      <w:bookmarkEnd w:id="1"/>
      <w:r>
        <w:rPr>
          <w:rFonts w:asciiTheme="minorHAnsi" w:eastAsia="Calibri" w:hAnsiTheme="minorHAnsi" w:cstheme="minorHAnsi"/>
          <w:b/>
        </w:rPr>
        <w:t xml:space="preserve">Office Location and </w:t>
      </w:r>
      <w:r w:rsidRPr="00F375A9">
        <w:rPr>
          <w:rFonts w:asciiTheme="minorHAnsi" w:eastAsia="Calibri" w:hAnsiTheme="minorHAnsi" w:cstheme="minorHAnsi"/>
          <w:b/>
        </w:rPr>
        <w:t>Office Hours</w:t>
      </w:r>
      <w:r w:rsidRPr="00F375A9">
        <w:rPr>
          <w:rFonts w:asciiTheme="minorHAnsi" w:eastAsia="Calibri" w:hAnsiTheme="minorHAnsi" w:cstheme="minorHAnsi"/>
        </w:rPr>
        <w:t xml:space="preserve">: </w:t>
      </w:r>
      <w:r w:rsidR="00F20A89">
        <w:rPr>
          <w:rFonts w:asciiTheme="minorHAnsi" w:eastAsia="Calibri" w:hAnsiTheme="minorHAnsi" w:cstheme="minorHAnsi"/>
        </w:rPr>
        <w:t>Busine</w:t>
      </w:r>
      <w:r w:rsidR="00031DFD">
        <w:rPr>
          <w:rFonts w:asciiTheme="minorHAnsi" w:eastAsia="Calibri" w:hAnsiTheme="minorHAnsi" w:cstheme="minorHAnsi"/>
        </w:rPr>
        <w:t>ss 2</w:t>
      </w:r>
      <w:r w:rsidR="00401412">
        <w:rPr>
          <w:rFonts w:asciiTheme="minorHAnsi" w:eastAsia="Calibri" w:hAnsiTheme="minorHAnsi" w:cstheme="minorHAnsi"/>
        </w:rPr>
        <w:t>14 Tuesday 9</w:t>
      </w:r>
      <w:r w:rsidR="001262F9">
        <w:rPr>
          <w:rFonts w:asciiTheme="minorHAnsi" w:eastAsia="Calibri" w:hAnsiTheme="minorHAnsi" w:cstheme="minorHAnsi"/>
        </w:rPr>
        <w:t xml:space="preserve">:20 </w:t>
      </w:r>
      <w:r w:rsidR="00401412">
        <w:rPr>
          <w:rFonts w:asciiTheme="minorHAnsi" w:eastAsia="Calibri" w:hAnsiTheme="minorHAnsi" w:cstheme="minorHAnsi"/>
        </w:rPr>
        <w:t>am -10</w:t>
      </w:r>
      <w:r w:rsidR="001262F9">
        <w:rPr>
          <w:rFonts w:asciiTheme="minorHAnsi" w:eastAsia="Calibri" w:hAnsiTheme="minorHAnsi" w:cstheme="minorHAnsi"/>
        </w:rPr>
        <w:t xml:space="preserve">:30 </w:t>
      </w:r>
      <w:r w:rsidR="00401412">
        <w:rPr>
          <w:rFonts w:asciiTheme="minorHAnsi" w:eastAsia="Calibri" w:hAnsiTheme="minorHAnsi" w:cstheme="minorHAnsi"/>
        </w:rPr>
        <w:t>am and Thurs</w:t>
      </w:r>
      <w:r w:rsidR="00F20A89">
        <w:rPr>
          <w:rFonts w:asciiTheme="minorHAnsi" w:eastAsia="Calibri" w:hAnsiTheme="minorHAnsi" w:cstheme="minorHAnsi"/>
        </w:rPr>
        <w:t>day 3:30-4:30 pm or by appointment. If a student makes an appointment outside of normal office hours and does not show up, no more appointments will be made for the semester.</w:t>
      </w:r>
    </w:p>
    <w:p w14:paraId="7B38D08D" w14:textId="77777777" w:rsidR="00F20A89" w:rsidRPr="00653505" w:rsidRDefault="00F20A89" w:rsidP="00F20A89">
      <w:pPr>
        <w:spacing w:after="0" w:line="240" w:lineRule="auto"/>
        <w:contextualSpacing/>
        <w:rPr>
          <w:rFonts w:asciiTheme="minorHAnsi" w:eastAsia="Calibri" w:hAnsiTheme="minorHAnsi" w:cstheme="minorHAnsi"/>
        </w:rPr>
      </w:pPr>
    </w:p>
    <w:p w14:paraId="721846CC" w14:textId="77777777" w:rsidR="00204984" w:rsidRPr="00064177" w:rsidRDefault="00DF4FC6" w:rsidP="00DA21F1">
      <w:pPr>
        <w:spacing w:after="0" w:line="240" w:lineRule="auto"/>
        <w:ind w:left="630" w:hanging="630"/>
        <w:contextualSpacing/>
        <w:rPr>
          <w:rFonts w:asciiTheme="minorHAnsi" w:hAnsiTheme="minorHAnsi" w:cstheme="minorHAnsi"/>
        </w:rPr>
      </w:pPr>
      <w:r w:rsidRPr="00064177">
        <w:rPr>
          <w:rFonts w:asciiTheme="minorHAnsi" w:eastAsia="Calibri" w:hAnsiTheme="minorHAnsi" w:cstheme="minorHAnsi"/>
          <w:b/>
        </w:rPr>
        <w:t>Text</w:t>
      </w:r>
      <w:r w:rsidRPr="00064177">
        <w:rPr>
          <w:rFonts w:asciiTheme="minorHAnsi" w:eastAsia="Calibri" w:hAnsiTheme="minorHAnsi" w:cstheme="minorHAnsi"/>
        </w:rPr>
        <w:t xml:space="preserve">: </w:t>
      </w:r>
      <w:r w:rsidRPr="00064177">
        <w:rPr>
          <w:rFonts w:asciiTheme="minorHAnsi" w:eastAsia="Calibri" w:hAnsiTheme="minorHAnsi" w:cstheme="minorHAnsi"/>
          <w:i/>
        </w:rPr>
        <w:t>Investments 10E with Connect</w:t>
      </w:r>
      <w:r w:rsidRPr="00064177">
        <w:rPr>
          <w:rFonts w:asciiTheme="minorHAnsi" w:eastAsia="Calibri" w:hAnsiTheme="minorHAnsi" w:cstheme="minorHAnsi"/>
        </w:rPr>
        <w:t xml:space="preserve"> by Bodie, Kane and Marcus, </w:t>
      </w:r>
      <w:r w:rsidRPr="00064177">
        <w:rPr>
          <w:rFonts w:asciiTheme="minorHAnsi" w:eastAsia="Calibri" w:hAnsiTheme="minorHAnsi" w:cstheme="minorHAnsi"/>
          <w:b/>
        </w:rPr>
        <w:t>ISBN:</w:t>
      </w:r>
      <w:r w:rsidRPr="00064177">
        <w:rPr>
          <w:rFonts w:asciiTheme="minorHAnsi" w:eastAsia="Calibri" w:hAnsiTheme="minorHAnsi" w:cstheme="minorHAnsi"/>
        </w:rPr>
        <w:t xml:space="preserve"> 9781259162329</w:t>
      </w:r>
    </w:p>
    <w:p w14:paraId="0048C7E3" w14:textId="35A91AF0" w:rsidR="00DA21F1" w:rsidRPr="00064177" w:rsidRDefault="00DF4FC6" w:rsidP="00DA21F1">
      <w:pPr>
        <w:spacing w:line="240" w:lineRule="auto"/>
        <w:contextualSpacing/>
        <w:rPr>
          <w:rFonts w:asciiTheme="minorHAnsi" w:hAnsiTheme="minorHAnsi" w:cstheme="minorHAnsi"/>
          <w:color w:val="333333"/>
        </w:rPr>
      </w:pPr>
      <w:r w:rsidRPr="00064177">
        <w:rPr>
          <w:rFonts w:asciiTheme="minorHAnsi" w:eastAsia="Calibri" w:hAnsiTheme="minorHAnsi" w:cstheme="minorHAnsi"/>
          <w:color w:val="0000FF"/>
        </w:rPr>
        <w:t>Connect Registration Site:</w:t>
      </w:r>
      <w:r w:rsidR="00064177" w:rsidRPr="00064177">
        <w:rPr>
          <w:rFonts w:asciiTheme="minorHAnsi" w:hAnsiTheme="minorHAnsi" w:cstheme="minorHAnsi"/>
        </w:rPr>
        <w:t xml:space="preserve"> </w:t>
      </w:r>
      <w:r w:rsidR="00064177" w:rsidRPr="00064177">
        <w:rPr>
          <w:rFonts w:asciiTheme="minorHAnsi" w:hAnsiTheme="minorHAnsi" w:cstheme="minorHAnsi"/>
          <w:color w:val="333333"/>
        </w:rPr>
        <w:t xml:space="preserve"> </w:t>
      </w:r>
      <w:hyperlink r:id="rId8" w:history="1">
        <w:r w:rsidR="00064177" w:rsidRPr="00064177">
          <w:rPr>
            <w:rStyle w:val="Hyperlink"/>
            <w:rFonts w:asciiTheme="minorHAnsi" w:hAnsiTheme="minorHAnsi" w:cstheme="minorHAnsi"/>
          </w:rPr>
          <w:t>http://connect.mheducation.com/class/s-rush-fall-2017</w:t>
        </w:r>
      </w:hyperlink>
    </w:p>
    <w:p w14:paraId="2892DA0F" w14:textId="76C247F6" w:rsidR="00204984" w:rsidRPr="00064177" w:rsidRDefault="00DF4FC6" w:rsidP="00DA21F1">
      <w:pPr>
        <w:spacing w:line="240" w:lineRule="auto"/>
        <w:contextualSpacing/>
        <w:rPr>
          <w:rFonts w:asciiTheme="minorHAnsi" w:eastAsia="Calibri" w:hAnsiTheme="minorHAnsi" w:cstheme="minorHAnsi"/>
        </w:rPr>
      </w:pPr>
      <w:r w:rsidRPr="00064177">
        <w:rPr>
          <w:rFonts w:asciiTheme="minorHAnsi" w:eastAsia="Calibri" w:hAnsiTheme="minorHAnsi" w:cstheme="minorHAnsi"/>
        </w:rPr>
        <w:t>(Connect is included with a new textbook or may be purchased separately from the publisher.)</w:t>
      </w:r>
    </w:p>
    <w:p w14:paraId="164FACC5" w14:textId="793D9E31" w:rsidR="00064177" w:rsidRDefault="00064177" w:rsidP="00DA21F1">
      <w:pPr>
        <w:spacing w:line="240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064177">
        <w:rPr>
          <w:rFonts w:asciiTheme="minorHAnsi" w:eastAsia="Times New Roman" w:hAnsiTheme="minorHAnsi" w:cstheme="minorHAnsi"/>
          <w:color w:val="auto"/>
        </w:rPr>
        <w:t xml:space="preserve">Any </w:t>
      </w:r>
      <w:r w:rsidR="00E53D6F" w:rsidRPr="00064177">
        <w:rPr>
          <w:rFonts w:asciiTheme="minorHAnsi" w:eastAsia="Times New Roman" w:hAnsiTheme="minorHAnsi" w:cstheme="minorHAnsi"/>
          <w:color w:val="auto"/>
        </w:rPr>
        <w:t>recent ed</w:t>
      </w:r>
      <w:r w:rsidR="00E53D6F">
        <w:rPr>
          <w:rFonts w:asciiTheme="minorHAnsi" w:eastAsia="Times New Roman" w:hAnsiTheme="minorHAnsi" w:cstheme="minorHAnsi"/>
          <w:color w:val="auto"/>
        </w:rPr>
        <w:t xml:space="preserve">itions of </w:t>
      </w:r>
      <w:r w:rsidRPr="00064177">
        <w:rPr>
          <w:rFonts w:asciiTheme="minorHAnsi" w:eastAsia="Times New Roman" w:hAnsiTheme="minorHAnsi" w:cstheme="minorHAnsi"/>
          <w:color w:val="auto"/>
        </w:rPr>
        <w:t xml:space="preserve">physical textbooks </w:t>
      </w:r>
      <w:r>
        <w:rPr>
          <w:rFonts w:asciiTheme="minorHAnsi" w:eastAsia="Times New Roman" w:hAnsiTheme="minorHAnsi" w:cstheme="minorHAnsi"/>
          <w:color w:val="auto"/>
        </w:rPr>
        <w:t>are</w:t>
      </w:r>
      <w:r w:rsidRPr="00064177">
        <w:rPr>
          <w:rFonts w:asciiTheme="minorHAnsi" w:eastAsia="Times New Roman" w:hAnsiTheme="minorHAnsi" w:cstheme="minorHAnsi"/>
          <w:color w:val="auto"/>
        </w:rPr>
        <w:t xml:space="preserve"> fine but the Connect access code must be for the 10</w:t>
      </w:r>
      <w:r w:rsidRPr="00064177">
        <w:rPr>
          <w:rFonts w:asciiTheme="minorHAnsi" w:eastAsia="Times New Roman" w:hAnsiTheme="minorHAnsi" w:cstheme="minorHAnsi"/>
          <w:color w:val="auto"/>
          <w:vertAlign w:val="superscript"/>
        </w:rPr>
        <w:t>th</w:t>
      </w:r>
      <w:r w:rsidRPr="00064177">
        <w:rPr>
          <w:rFonts w:asciiTheme="minorHAnsi" w:eastAsia="Times New Roman" w:hAnsiTheme="minorHAnsi" w:cstheme="minorHAnsi"/>
          <w:color w:val="auto"/>
        </w:rPr>
        <w:t xml:space="preserve"> edition.</w:t>
      </w:r>
    </w:p>
    <w:p w14:paraId="2FF92198" w14:textId="28CE6C9F" w:rsidR="00B214DB" w:rsidRDefault="00B214DB" w:rsidP="00DA21F1">
      <w:pPr>
        <w:spacing w:line="240" w:lineRule="auto"/>
        <w:contextualSpacing/>
        <w:rPr>
          <w:rFonts w:asciiTheme="minorHAnsi" w:eastAsia="Times New Roman" w:hAnsiTheme="minorHAnsi" w:cstheme="minorHAnsi"/>
          <w:color w:val="auto"/>
        </w:rPr>
      </w:pPr>
    </w:p>
    <w:p w14:paraId="1963C93D" w14:textId="77777777" w:rsidR="00204984" w:rsidRDefault="00DF4FC6" w:rsidP="0082003F">
      <w:pPr>
        <w:spacing w:after="0" w:line="240" w:lineRule="auto"/>
        <w:jc w:val="both"/>
      </w:pPr>
      <w:r>
        <w:rPr>
          <w:rFonts w:ascii="Calibri" w:eastAsia="Calibri" w:hAnsi="Calibri" w:cs="Calibri"/>
          <w:b/>
        </w:rPr>
        <w:t>Grading</w:t>
      </w:r>
      <w:r>
        <w:rPr>
          <w:rFonts w:ascii="Calibri" w:eastAsia="Calibri" w:hAnsi="Calibri" w:cs="Calibri"/>
        </w:rPr>
        <w:t>: Tests will be given during regularly scheduled classes. There will be no makeup tests for any reason. Students missing a test with a valid note from a physician will receive the average of their remaining test grades. Students missing a test without such a note will receive a zero. The online component of this course “Connect” is required to receive credit for homework. Printed homework from Connect will not be accepted.</w:t>
      </w:r>
    </w:p>
    <w:p w14:paraId="242BEB66" w14:textId="77777777" w:rsidR="00204984" w:rsidRDefault="00204984" w:rsidP="0082003F">
      <w:pPr>
        <w:spacing w:after="0" w:line="240" w:lineRule="auto"/>
        <w:jc w:val="both"/>
      </w:pPr>
    </w:p>
    <w:p w14:paraId="12840926" w14:textId="2602FE70" w:rsidR="00056364" w:rsidRPr="00056364" w:rsidRDefault="00056364" w:rsidP="00056364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  <w:r w:rsidRPr="00747D43">
        <w:rPr>
          <w:rFonts w:asciiTheme="minorHAnsi" w:hAnsiTheme="minorHAnsi" w:cstheme="minorHAnsi"/>
          <w:b/>
          <w:sz w:val="24"/>
          <w:szCs w:val="24"/>
        </w:rPr>
        <w:t>Exams:</w:t>
      </w:r>
      <w:r>
        <w:rPr>
          <w:rFonts w:asciiTheme="minorHAnsi" w:hAnsiTheme="minorHAnsi" w:cstheme="minorHAnsi"/>
          <w:sz w:val="24"/>
          <w:szCs w:val="24"/>
        </w:rPr>
        <w:t xml:space="preserve"> Exams increase in level of difficulty. </w:t>
      </w:r>
      <w:r w:rsidR="00644A8B">
        <w:rPr>
          <w:rFonts w:asciiTheme="minorHAnsi" w:hAnsiTheme="minorHAnsi" w:cstheme="minorHAnsi"/>
          <w:sz w:val="24"/>
          <w:szCs w:val="24"/>
        </w:rPr>
        <w:t xml:space="preserve">The midterm grade can be replaced with the final exam grade. </w:t>
      </w:r>
      <w:r>
        <w:rPr>
          <w:rFonts w:asciiTheme="minorHAnsi" w:hAnsiTheme="minorHAnsi" w:cstheme="minorHAnsi"/>
          <w:sz w:val="24"/>
          <w:szCs w:val="24"/>
        </w:rPr>
        <w:t>Students missing the final exam will not receive credit. The final exam is cumulative but is weighted towards the most recent material covered in class.</w:t>
      </w:r>
      <w:r w:rsidR="00B214DB">
        <w:rPr>
          <w:rFonts w:asciiTheme="minorHAnsi" w:hAnsiTheme="minorHAnsi" w:cstheme="minorHAnsi"/>
          <w:sz w:val="24"/>
          <w:szCs w:val="24"/>
        </w:rPr>
        <w:t xml:space="preserve"> You may bring a 3x5 card to each exam.</w:t>
      </w:r>
    </w:p>
    <w:p w14:paraId="6E5FB9F0" w14:textId="77777777" w:rsidR="00056364" w:rsidRDefault="00056364" w:rsidP="0082003F">
      <w:pPr>
        <w:spacing w:after="0" w:line="240" w:lineRule="auto"/>
        <w:jc w:val="both"/>
      </w:pPr>
    </w:p>
    <w:p w14:paraId="43F27169" w14:textId="2A8A4D66" w:rsidR="00204984" w:rsidRDefault="00DF4FC6" w:rsidP="0082003F">
      <w:pPr>
        <w:spacing w:after="0" w:line="240" w:lineRule="auto"/>
        <w:jc w:val="both"/>
      </w:pPr>
      <w:r>
        <w:rPr>
          <w:rFonts w:ascii="Calibri" w:eastAsia="Calibri" w:hAnsi="Calibri" w:cs="Calibri"/>
          <w:b/>
        </w:rPr>
        <w:t>Homework:</w:t>
      </w:r>
      <w:r>
        <w:rPr>
          <w:rFonts w:ascii="Calibri" w:eastAsia="Calibri" w:hAnsi="Calibri" w:cs="Calibri"/>
        </w:rPr>
        <w:t xml:space="preserve"> Connect assignments will be available for the entire semester. Only your last score will count toward your final grade. </w:t>
      </w:r>
      <w:r>
        <w:rPr>
          <w:rFonts w:ascii="Calibri" w:eastAsia="Calibri" w:hAnsi="Calibri" w:cs="Calibri"/>
        </w:rPr>
        <w:lastRenderedPageBreak/>
        <w:t>You have three attempts to complete each assignment. The recommended process is to do each assignment once before the lecture, after the lecture, and before the final exam.</w:t>
      </w:r>
      <w:r w:rsidR="00AB2750">
        <w:rPr>
          <w:rFonts w:ascii="Calibri" w:eastAsia="Calibri" w:hAnsi="Calibri" w:cs="Calibri"/>
        </w:rPr>
        <w:t xml:space="preserve"> Prep Courses are optional and do not count toward your grade. All Connect homework will be due by midnight on the Friday before final exam week.</w:t>
      </w:r>
    </w:p>
    <w:p w14:paraId="577A9ABA" w14:textId="4B7BC4B3" w:rsidR="00204984" w:rsidRDefault="00204984">
      <w:pPr>
        <w:spacing w:after="0"/>
      </w:pPr>
    </w:p>
    <w:tbl>
      <w:tblPr>
        <w:tblStyle w:val="a"/>
        <w:tblW w:w="8244" w:type="dxa"/>
        <w:jc w:val="center"/>
        <w:tblLayout w:type="fixed"/>
        <w:tblLook w:val="0400" w:firstRow="0" w:lastRow="0" w:firstColumn="0" w:lastColumn="0" w:noHBand="0" w:noVBand="1"/>
      </w:tblPr>
      <w:tblGrid>
        <w:gridCol w:w="3424"/>
        <w:gridCol w:w="1205"/>
        <w:gridCol w:w="1205"/>
        <w:gridCol w:w="1438"/>
        <w:gridCol w:w="972"/>
      </w:tblGrid>
      <w:tr w:rsidR="00653505" w14:paraId="1306E298" w14:textId="2ECE5105" w:rsidTr="00A876E0">
        <w:trPr>
          <w:trHeight w:val="320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58EC078" w14:textId="77777777" w:rsidR="00653505" w:rsidRDefault="00653505">
            <w:pPr>
              <w:spacing w:after="0"/>
            </w:pPr>
            <w:r>
              <w:rPr>
                <w:rFonts w:ascii="Calibri" w:eastAsia="Calibri" w:hAnsi="Calibri" w:cs="Calibri"/>
                <w:b/>
              </w:rPr>
              <w:t>Assignment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7A687A" w14:textId="77777777" w:rsidR="00653505" w:rsidRDefault="00653505">
            <w:pPr>
              <w:spacing w:after="0"/>
            </w:pPr>
            <w:r>
              <w:rPr>
                <w:rFonts w:ascii="Calibri" w:eastAsia="Calibri" w:hAnsi="Calibri" w:cs="Calibri"/>
                <w:b/>
              </w:rPr>
              <w:t>Weight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8B50118" w14:textId="77777777" w:rsidR="00653505" w:rsidRDefault="00653505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9A3B2" w14:textId="095135B3" w:rsidR="00653505" w:rsidRDefault="0082003F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653505">
              <w:rPr>
                <w:rFonts w:ascii="Calibri" w:eastAsia="Calibri" w:hAnsi="Calibri" w:cs="Calibri"/>
                <w:b/>
              </w:rPr>
              <w:t>Score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6B2" w14:textId="748C786F" w:rsidR="00653505" w:rsidRDefault="00653505" w:rsidP="00653505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Grade</w:t>
            </w:r>
          </w:p>
        </w:tc>
      </w:tr>
      <w:tr w:rsidR="00653505" w14:paraId="3AEF31EC" w14:textId="7232E83F" w:rsidTr="0082003F">
        <w:trPr>
          <w:trHeight w:val="150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0A2FA5A2" w14:textId="77777777" w:rsidR="00653505" w:rsidRDefault="00653505">
            <w:pPr>
              <w:spacing w:after="0"/>
            </w:pPr>
            <w:r>
              <w:rPr>
                <w:rFonts w:ascii="Calibri" w:eastAsia="Calibri" w:hAnsi="Calibri" w:cs="Calibri"/>
              </w:rPr>
              <w:t>Relative Value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F1E51B" w14:textId="77777777" w:rsidR="00653505" w:rsidRDefault="00653505">
            <w:pPr>
              <w:spacing w:after="0"/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7C0722E5" w14:textId="77777777" w:rsidR="00653505" w:rsidRDefault="0065350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</w:tcPr>
          <w:p w14:paraId="5B8887FA" w14:textId="248770CF" w:rsidR="00653505" w:rsidRDefault="008200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653505">
              <w:rPr>
                <w:rFonts w:ascii="Calibri" w:eastAsia="Calibri" w:hAnsi="Calibri" w:cs="Calibri"/>
              </w:rPr>
              <w:t>90 – 100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2604B412" w14:textId="4BF529AB" w:rsidR="00653505" w:rsidRDefault="00653505" w:rsidP="0065350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653505" w14:paraId="69DE66A6" w14:textId="1D7CE1B2" w:rsidTr="0082003F">
        <w:trPr>
          <w:trHeight w:val="150"/>
          <w:jc w:val="center"/>
        </w:trPr>
        <w:tc>
          <w:tcPr>
            <w:tcW w:w="3424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055B00E8" w14:textId="379B4E99" w:rsidR="00653505" w:rsidRDefault="008A70A4">
            <w:pPr>
              <w:spacing w:after="0"/>
            </w:pPr>
            <w:r>
              <w:rPr>
                <w:rFonts w:ascii="Calibri" w:eastAsia="Calibri" w:hAnsi="Calibri" w:cs="Calibri"/>
              </w:rPr>
              <w:t>Portfolio Optimization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3E736A" w14:textId="34036F7C" w:rsidR="00653505" w:rsidRDefault="008A70A4">
            <w:pPr>
              <w:spacing w:after="0"/>
            </w:pPr>
            <w:r>
              <w:rPr>
                <w:rFonts w:ascii="Calibri" w:eastAsia="Calibri" w:hAnsi="Calibri" w:cs="Calibri"/>
              </w:rPr>
              <w:t>10</w:t>
            </w:r>
            <w:r w:rsidR="00653505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708B34C" w14:textId="77777777" w:rsidR="00653505" w:rsidRDefault="0065350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58D680CC" w14:textId="7AFF763C" w:rsidR="00653505" w:rsidRDefault="008200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653505">
              <w:rPr>
                <w:rFonts w:ascii="Calibri" w:eastAsia="Calibri" w:hAnsi="Calibri" w:cs="Calibri"/>
              </w:rPr>
              <w:t>80 – 89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5AEB2442" w14:textId="174C5BF7" w:rsidR="00653505" w:rsidRDefault="00653505" w:rsidP="0065350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</w:tr>
      <w:tr w:rsidR="008A70A4" w14:paraId="5F80B715" w14:textId="77777777" w:rsidTr="0082003F">
        <w:trPr>
          <w:trHeight w:val="150"/>
          <w:jc w:val="center"/>
        </w:trPr>
        <w:tc>
          <w:tcPr>
            <w:tcW w:w="3424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02A4246C" w14:textId="20D54823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Efficient Frontier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15F702" w14:textId="1119D05B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BB1F546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551B5E69" w14:textId="35238648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70 – 79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1601D623" w14:textId="2EE34423" w:rsidR="008A70A4" w:rsidRDefault="008A70A4" w:rsidP="008A70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</w:tr>
      <w:tr w:rsidR="008A70A4" w14:paraId="3D5256AE" w14:textId="09DAD378" w:rsidTr="0082003F">
        <w:trPr>
          <w:trHeight w:val="150"/>
          <w:jc w:val="center"/>
        </w:trPr>
        <w:tc>
          <w:tcPr>
            <w:tcW w:w="3424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1414D08A" w14:textId="07A524AD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Estimate Beta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90F6A0" w14:textId="24316603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10%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383F732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08A9BC1E" w14:textId="7137AB50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60 – 69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2AEF4DC1" w14:textId="3B0C35B1" w:rsidR="008A70A4" w:rsidRDefault="008A70A4" w:rsidP="008A70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</w:tr>
      <w:tr w:rsidR="008A70A4" w14:paraId="40BE1AAC" w14:textId="3986B091" w:rsidTr="00A876E0">
        <w:trPr>
          <w:trHeight w:val="320"/>
          <w:jc w:val="center"/>
        </w:trPr>
        <w:tc>
          <w:tcPr>
            <w:tcW w:w="3424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1AD4231C" w14:textId="1057E8DF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Midterm Exam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53B11A" w14:textId="77777777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15%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AEF9348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</w:tcBorders>
          </w:tcPr>
          <w:p w14:paraId="5E94DD85" w14:textId="3C6AA756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&lt; 60</w:t>
            </w: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auto"/>
            </w:tcBorders>
          </w:tcPr>
          <w:p w14:paraId="7F308124" w14:textId="09A294C6" w:rsidR="008A70A4" w:rsidRDefault="008A70A4" w:rsidP="008A70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8A70A4" w14:paraId="18E3A7F6" w14:textId="02D73373" w:rsidTr="00A876E0">
        <w:trPr>
          <w:trHeight w:val="320"/>
          <w:jc w:val="center"/>
        </w:trPr>
        <w:tc>
          <w:tcPr>
            <w:tcW w:w="3424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5812055C" w14:textId="77777777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Final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648233" w14:textId="24A87478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15%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14:paraId="79DB9084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14:paraId="635C5EAE" w14:textId="5E38336E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14DD6F83" w14:textId="2D19E2B9" w:rsidR="008A70A4" w:rsidRDefault="008A70A4" w:rsidP="008A70A4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8A70A4" w14:paraId="45DAA92E" w14:textId="0E0BB8EE" w:rsidTr="000F3A57">
        <w:trPr>
          <w:trHeight w:val="320"/>
          <w:jc w:val="center"/>
        </w:trPr>
        <w:tc>
          <w:tcPr>
            <w:tcW w:w="3424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70AF3C24" w14:textId="77777777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Excel Project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A31EA0" w14:textId="1E0A8337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15%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14:paraId="0890BD2E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</w:tcPr>
          <w:p w14:paraId="19F5C13D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</w:tcPr>
          <w:p w14:paraId="72C23FC0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8A70A4" w14:paraId="0C8AA815" w14:textId="211498EB" w:rsidTr="0082003F">
        <w:trPr>
          <w:trHeight w:val="320"/>
          <w:jc w:val="center"/>
        </w:trPr>
        <w:tc>
          <w:tcPr>
            <w:tcW w:w="3424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099275E" w14:textId="77777777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Homework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88434D" w14:textId="03B0776F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14:paraId="6FEA3763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</w:tcPr>
          <w:p w14:paraId="0041E4F6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</w:tcPr>
          <w:p w14:paraId="2E3B4611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8A70A4" w14:paraId="77BF0EF8" w14:textId="32FBB3B9" w:rsidTr="00A876E0">
        <w:trPr>
          <w:trHeight w:val="296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E5EEF91" w14:textId="77777777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196185" w14:textId="77777777" w:rsidR="008A70A4" w:rsidRDefault="008A70A4" w:rsidP="008A70A4">
            <w:pPr>
              <w:spacing w:after="0"/>
            </w:pPr>
            <w:r>
              <w:rPr>
                <w:rFonts w:ascii="Calibri" w:eastAsia="Calibri" w:hAnsi="Calibri" w:cs="Calibri"/>
                <w:b/>
              </w:rPr>
              <w:t>100%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14:paraId="64919D1D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38" w:type="dxa"/>
          </w:tcPr>
          <w:p w14:paraId="4AEF578A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72" w:type="dxa"/>
          </w:tcPr>
          <w:p w14:paraId="7D2A86DC" w14:textId="77777777" w:rsidR="008A70A4" w:rsidRDefault="008A70A4" w:rsidP="008A70A4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</w:tbl>
    <w:p w14:paraId="15B1400D" w14:textId="77777777" w:rsidR="00204984" w:rsidRDefault="00204984"/>
    <w:tbl>
      <w:tblPr>
        <w:tblStyle w:val="a0"/>
        <w:tblW w:w="999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6390"/>
        <w:gridCol w:w="2760"/>
      </w:tblGrid>
      <w:tr w:rsidR="00204984" w14:paraId="3EE6BEED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3F42720A" w14:textId="3081424C" w:rsidR="00204984" w:rsidRDefault="0082003F">
            <w:pPr>
              <w:spacing w:after="0"/>
              <w:jc w:val="center"/>
            </w:pPr>
            <w:r>
              <w:br w:type="page"/>
            </w:r>
            <w:r w:rsidR="00DF4FC6">
              <w:rPr>
                <w:rFonts w:ascii="Calibri" w:eastAsia="Calibri" w:hAnsi="Calibri" w:cs="Calibri"/>
                <w:b/>
              </w:rPr>
              <w:t>Week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31DAF9D" w14:textId="77777777" w:rsidR="00204984" w:rsidRDefault="00DF4FC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</w:rPr>
              <w:t>Topic and Chapter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54E70CE6" w14:textId="77777777" w:rsidR="00204984" w:rsidRDefault="00DF4FC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</w:rPr>
              <w:t>Deliverable</w:t>
            </w:r>
          </w:p>
        </w:tc>
      </w:tr>
      <w:tr w:rsidR="00204984" w14:paraId="30905D80" w14:textId="77777777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35376F1A" w14:textId="00A13BBC" w:rsidR="00204984" w:rsidRDefault="0082003F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2AAE0C97" w14:textId="7713315C" w:rsidR="00B73F20" w:rsidRPr="00AC54FD" w:rsidRDefault="00DF4FC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Introduction, Bloomberg, and Chapter 3: Securities Markets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225D604" w14:textId="199E3349" w:rsidR="00204984" w:rsidRPr="00AC54FD" w:rsidRDefault="00DF4FC6" w:rsidP="00AC54FD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 Groups</w:t>
            </w:r>
          </w:p>
        </w:tc>
      </w:tr>
      <w:tr w:rsidR="00B73F20" w14:paraId="6424E69B" w14:textId="77777777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2D5FCFB1" w14:textId="1EB488A8" w:rsidR="00B73F20" w:rsidRDefault="00B73F20" w:rsidP="00B73F20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1C790B97" w14:textId="262A679E" w:rsidR="00B73F20" w:rsidRPr="0082003F" w:rsidRDefault="00AC54FD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 5: Risk, Return, and History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2555B59C" w14:textId="19D6B48F" w:rsidR="00B73F20" w:rsidRPr="00AC54FD" w:rsidRDefault="00AC54FD" w:rsidP="00AC54FD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Relative Value</w:t>
            </w:r>
          </w:p>
        </w:tc>
      </w:tr>
      <w:tr w:rsidR="00B73F20" w14:paraId="04526171" w14:textId="77777777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6AFA657" w14:textId="75B9A6B8" w:rsidR="00B73F20" w:rsidRDefault="00B73F20" w:rsidP="00B73F20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B8D563C" w14:textId="7ECDB6EB" w:rsidR="00B73F20" w:rsidRPr="0082003F" w:rsidRDefault="00AC54FD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 6: Portfolio Theory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083214BE" w14:textId="77777777" w:rsidR="00B73F20" w:rsidRDefault="00B73F20" w:rsidP="00B73F20">
            <w:pPr>
              <w:spacing w:after="0"/>
            </w:pPr>
          </w:p>
        </w:tc>
      </w:tr>
      <w:tr w:rsidR="00B73F20" w14:paraId="6E9C8E1A" w14:textId="77777777">
        <w:trPr>
          <w:trHeight w:val="32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6770EA2A" w14:textId="5A6BC077" w:rsidR="00B73F20" w:rsidRDefault="00B73F20" w:rsidP="00B73F20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1D43D59" w14:textId="2B929B36" w:rsidR="00B73F20" w:rsidRPr="00AC54FD" w:rsidRDefault="00AC54FD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 7: Portfolio Theory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6427557" w14:textId="304BC1D2" w:rsidR="00B73F20" w:rsidRDefault="00AC54FD" w:rsidP="00AC54FD">
            <w:pPr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Portfolio Optimization</w:t>
            </w:r>
          </w:p>
        </w:tc>
      </w:tr>
      <w:tr w:rsidR="00B73F20" w14:paraId="2892A906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07047342" w14:textId="6166D99F" w:rsidR="00B73F20" w:rsidRDefault="00B73F20" w:rsidP="00B73F20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50C66F89" w14:textId="7A8C1DAB" w:rsidR="00B73F20" w:rsidRPr="00B700B0" w:rsidRDefault="00AC54FD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Chapters 8-9: CAPM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67B1BC53" w14:textId="3D47BBBE" w:rsidR="00B73F20" w:rsidRDefault="00AC54FD" w:rsidP="00B73F20">
            <w:pPr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Efficient Frontier</w:t>
            </w:r>
          </w:p>
        </w:tc>
      </w:tr>
      <w:tr w:rsidR="00934847" w14:paraId="3B96B01A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1A541C4" w14:textId="560F5C8E" w:rsidR="00934847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BD8D91C" w14:textId="7024AF80" w:rsidR="00934847" w:rsidRDefault="00AC54FD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 10: Arbitrage Pricing Theory and Multifactor Models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90E105E" w14:textId="65B93388" w:rsidR="00934847" w:rsidRDefault="00AC54FD" w:rsidP="00B73F20">
            <w:pPr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Estimate β using Excel</w:t>
            </w:r>
          </w:p>
        </w:tc>
      </w:tr>
      <w:tr w:rsidR="00B700B0" w14:paraId="172B3C01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3EB30B1" w14:textId="26AB53B2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20B7F9F4" w14:textId="14BA03AE" w:rsidR="00B700B0" w:rsidRDefault="00AC54FD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Chapters 11-13: EMH and Behavioral Finance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CFCBEA9" w14:textId="77777777" w:rsidR="00B700B0" w:rsidRDefault="00B700B0" w:rsidP="00B73F20">
            <w:pPr>
              <w:spacing w:after="0"/>
              <w:jc w:val="center"/>
            </w:pPr>
          </w:p>
        </w:tc>
      </w:tr>
      <w:tr w:rsidR="00B700B0" w14:paraId="22EE6165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39567478" w14:textId="12754ABF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4BEE80D" w14:textId="2EC11A3E" w:rsidR="00B700B0" w:rsidRDefault="00B700B0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Fall Break</w:t>
            </w:r>
            <w:r w:rsidR="00AC54FD">
              <w:rPr>
                <w:rFonts w:ascii="Calibri" w:eastAsia="Calibri" w:hAnsi="Calibri" w:cs="Calibri"/>
              </w:rPr>
              <w:t xml:space="preserve"> and Review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6AD906FF" w14:textId="77777777" w:rsidR="00B700B0" w:rsidRDefault="00B700B0" w:rsidP="00B73F20">
            <w:pPr>
              <w:spacing w:after="0"/>
              <w:jc w:val="center"/>
            </w:pPr>
          </w:p>
        </w:tc>
      </w:tr>
      <w:tr w:rsidR="00B700B0" w14:paraId="79FCB88E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9596BC3" w14:textId="4CD42F74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68813C5" w14:textId="7707FA78" w:rsidR="00B700B0" w:rsidRPr="00AC54FD" w:rsidRDefault="00AC54FD" w:rsidP="00B73F20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AC54FD">
              <w:rPr>
                <w:rFonts w:ascii="Calibri" w:eastAsia="Calibri" w:hAnsi="Calibri" w:cs="Calibri"/>
                <w:b/>
              </w:rPr>
              <w:t>Midterm Exam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5D6B5730" w14:textId="77777777" w:rsidR="00B700B0" w:rsidRDefault="00B700B0" w:rsidP="00B73F20">
            <w:pPr>
              <w:spacing w:after="0"/>
              <w:jc w:val="center"/>
            </w:pPr>
          </w:p>
        </w:tc>
      </w:tr>
      <w:tr w:rsidR="00B700B0" w14:paraId="1E5C0AD1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3AEEEAB4" w14:textId="26468B37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AAEC677" w14:textId="387E4BEC" w:rsidR="00B700B0" w:rsidRPr="00B700B0" w:rsidRDefault="00B700B0" w:rsidP="00B73F20">
            <w:pPr>
              <w:spacing w:after="0"/>
            </w:pPr>
            <w:r>
              <w:rPr>
                <w:rFonts w:ascii="Calibri" w:eastAsia="Calibri" w:hAnsi="Calibri" w:cs="Calibri"/>
              </w:rPr>
              <w:t>Chapter 17: Macroeconomic and Industry Analysis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1E00C396" w14:textId="77777777" w:rsidR="00B700B0" w:rsidRDefault="00B700B0" w:rsidP="00B73F20">
            <w:pPr>
              <w:spacing w:after="0"/>
              <w:jc w:val="center"/>
            </w:pPr>
          </w:p>
        </w:tc>
      </w:tr>
      <w:tr w:rsidR="00B700B0" w14:paraId="6EB63DA6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3B997CE7" w14:textId="16984796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0A598DBA" w14:textId="2EE343D3" w:rsidR="00B700B0" w:rsidRDefault="00B700B0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 18: Equity Valuation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289EC9F3" w14:textId="77777777" w:rsidR="00B700B0" w:rsidRDefault="00B700B0" w:rsidP="00B73F20">
            <w:pPr>
              <w:spacing w:after="0"/>
              <w:jc w:val="center"/>
            </w:pPr>
          </w:p>
        </w:tc>
      </w:tr>
      <w:tr w:rsidR="00B700B0" w14:paraId="6CEB55B9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AD1D8C2" w14:textId="3F3AC96D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5F757480" w14:textId="6712AA42" w:rsidR="00B700B0" w:rsidRDefault="00B700B0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 19: Financial Statement Analysis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38032D3D" w14:textId="77777777" w:rsidR="00B700B0" w:rsidRDefault="00B700B0" w:rsidP="00B73F20">
            <w:pPr>
              <w:spacing w:after="0"/>
              <w:jc w:val="center"/>
            </w:pPr>
          </w:p>
        </w:tc>
      </w:tr>
      <w:tr w:rsidR="00B700B0" w14:paraId="421F87DB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97097B3" w14:textId="42B67579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F787BCD" w14:textId="599DBBE7" w:rsidR="00B700B0" w:rsidRDefault="00B700B0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Chapters 20: Option Pricing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C325624" w14:textId="77777777" w:rsidR="00B700B0" w:rsidRDefault="00B700B0" w:rsidP="00B73F20">
            <w:pPr>
              <w:spacing w:after="0"/>
              <w:jc w:val="center"/>
            </w:pPr>
          </w:p>
        </w:tc>
      </w:tr>
      <w:tr w:rsidR="00B700B0" w14:paraId="43312651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29CEFAB" w14:textId="17FC5D51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09A371AE" w14:textId="2B49FFB6" w:rsidR="00B700B0" w:rsidRDefault="00B700B0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Thanksgiving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5E4CCBBE" w14:textId="77777777" w:rsidR="00B700B0" w:rsidRDefault="00B700B0" w:rsidP="00B73F20">
            <w:pPr>
              <w:spacing w:after="0"/>
              <w:jc w:val="center"/>
            </w:pPr>
          </w:p>
        </w:tc>
      </w:tr>
      <w:tr w:rsidR="00934847" w14:paraId="1F84FB1A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02011B97" w14:textId="617B0164" w:rsidR="00934847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F8C2B45" w14:textId="7E1EFF0E" w:rsidR="00934847" w:rsidRDefault="00B700B0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 21: Options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3F64F7D8" w14:textId="77777777" w:rsidR="00934847" w:rsidRDefault="00934847" w:rsidP="00B73F20">
            <w:pPr>
              <w:spacing w:after="0"/>
              <w:jc w:val="center"/>
            </w:pPr>
          </w:p>
        </w:tc>
      </w:tr>
      <w:tr w:rsidR="00B700B0" w14:paraId="39BEE9FD" w14:textId="77777777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0126655D" w14:textId="3C4035C2" w:rsidR="00B700B0" w:rsidRDefault="00B700B0" w:rsidP="00B73F2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390B517D" w14:textId="4B166CD6" w:rsidR="00B700B0" w:rsidRDefault="00B700B0" w:rsidP="00B73F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Chapters 22-23: Futures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024204CD" w14:textId="1EF9630B" w:rsidR="00B700B0" w:rsidRPr="00B700B0" w:rsidRDefault="00B700B0" w:rsidP="00B700B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Equity Analysis</w:t>
            </w:r>
          </w:p>
        </w:tc>
      </w:tr>
      <w:tr w:rsidR="00B73F20" w14:paraId="250E48AD" w14:textId="77777777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68906460" w14:textId="7BBE334B" w:rsidR="00B73F20" w:rsidRDefault="00B700B0" w:rsidP="00B73F20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06679F07" w14:textId="50A7DF5A" w:rsidR="00B73F20" w:rsidRDefault="00B73F20" w:rsidP="00B73F20">
            <w:pPr>
              <w:spacing w:after="0"/>
            </w:pPr>
            <w:r w:rsidRPr="0082003F">
              <w:rPr>
                <w:rFonts w:ascii="Calibri" w:eastAsia="Calibri" w:hAnsi="Calibri" w:cs="Calibri"/>
                <w:b/>
              </w:rPr>
              <w:t>Final Exam</w:t>
            </w:r>
            <w:r>
              <w:rPr>
                <w:rFonts w:ascii="Calibri" w:eastAsia="Calibri" w:hAnsi="Calibri" w:cs="Calibri"/>
              </w:rPr>
              <w:t xml:space="preserve"> (Comprehensive)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504C9573" w14:textId="463DA837" w:rsidR="00B73F20" w:rsidRDefault="00B73F20" w:rsidP="00B73F20">
            <w:pPr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Connect Homework</w:t>
            </w:r>
          </w:p>
        </w:tc>
      </w:tr>
    </w:tbl>
    <w:p w14:paraId="3006DDE7" w14:textId="77777777" w:rsidR="00204984" w:rsidRDefault="00204984">
      <w:pPr>
        <w:widowControl/>
        <w:spacing w:after="0"/>
      </w:pPr>
    </w:p>
    <w:p w14:paraId="69AB818D" w14:textId="77777777" w:rsidR="0082003F" w:rsidRDefault="0082003F" w:rsidP="0082003F">
      <w:pPr>
        <w:spacing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Student Learning Outcomes: </w:t>
      </w:r>
      <w:r>
        <w:rPr>
          <w:rFonts w:asciiTheme="minorHAnsi" w:hAnsiTheme="minorHAnsi" w:cstheme="minorHAnsi"/>
        </w:rPr>
        <w:t xml:space="preserve">Upon completion of this course, students are expected to </w:t>
      </w:r>
    </w:p>
    <w:p w14:paraId="7395F8BA" w14:textId="63F450FE" w:rsidR="0082003F" w:rsidRPr="00FB5C24" w:rsidRDefault="00A35205" w:rsidP="0082003F">
      <w:pPr>
        <w:widowControl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Demonstrate an</w:t>
      </w:r>
      <w:r w:rsidR="0082003F">
        <w:rPr>
          <w:rFonts w:asciiTheme="minorHAnsi" w:hAnsiTheme="minorHAnsi" w:cstheme="minorHAnsi"/>
          <w:lang w:bidi="en-US"/>
        </w:rPr>
        <w:t xml:space="preserve"> understanding of</w:t>
      </w:r>
      <w:r w:rsidR="0082003F" w:rsidRPr="00FB5C24">
        <w:rPr>
          <w:rFonts w:asciiTheme="minorHAnsi" w:hAnsiTheme="minorHAnsi" w:cstheme="minorHAnsi"/>
          <w:lang w:bidi="en-US"/>
        </w:rPr>
        <w:t xml:space="preserve"> </w:t>
      </w:r>
      <w:r>
        <w:rPr>
          <w:rFonts w:asciiTheme="minorHAnsi" w:hAnsiTheme="minorHAnsi" w:cstheme="minorHAnsi"/>
          <w:lang w:bidi="en-US"/>
        </w:rPr>
        <w:t>risk and return</w:t>
      </w:r>
    </w:p>
    <w:p w14:paraId="5B73F719" w14:textId="3CD52390" w:rsidR="0082003F" w:rsidRDefault="00A35205" w:rsidP="0082003F">
      <w:pPr>
        <w:widowControl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Price equities and options</w:t>
      </w:r>
    </w:p>
    <w:p w14:paraId="1AC96FDD" w14:textId="57C22094" w:rsidR="00A35205" w:rsidRPr="004B2E40" w:rsidRDefault="00A35205" w:rsidP="0082003F">
      <w:pPr>
        <w:widowControl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Construct efficient portfolios</w:t>
      </w:r>
    </w:p>
    <w:p w14:paraId="0A7F21D9" w14:textId="77777777" w:rsidR="0082003F" w:rsidRPr="0082003F" w:rsidRDefault="0082003F" w:rsidP="00A35205">
      <w:pPr>
        <w:widowControl/>
        <w:spacing w:after="0" w:line="240" w:lineRule="auto"/>
        <w:contextualSpacing/>
        <w:rPr>
          <w:rFonts w:asciiTheme="minorHAnsi" w:hAnsiTheme="minorHAnsi" w:cstheme="minorHAnsi"/>
          <w:lang w:bidi="en-US"/>
        </w:rPr>
      </w:pPr>
    </w:p>
    <w:p w14:paraId="6ADE2C08" w14:textId="6C0691F0" w:rsidR="00204984" w:rsidRPr="00A35205" w:rsidRDefault="0082003F" w:rsidP="00A35205">
      <w:pPr>
        <w:rPr>
          <w:rFonts w:asciiTheme="minorHAnsi" w:hAnsiTheme="minorHAnsi" w:cstheme="minorHAnsi"/>
        </w:rPr>
      </w:pPr>
      <w:r w:rsidRPr="00FB5C24">
        <w:rPr>
          <w:rFonts w:asciiTheme="minorHAnsi" w:hAnsiTheme="minorHAnsi" w:cstheme="minorHAnsi"/>
          <w:b/>
        </w:rPr>
        <w:lastRenderedPageBreak/>
        <w:t xml:space="preserve">Assessment: </w:t>
      </w:r>
      <w:r w:rsidRPr="00FB5C24">
        <w:rPr>
          <w:rFonts w:asciiTheme="minorHAnsi" w:hAnsiTheme="minorHAnsi" w:cstheme="minorHAnsi"/>
        </w:rPr>
        <w:t>The learning outcomes will be assessed using exams, homework assig</w:t>
      </w:r>
      <w:r w:rsidR="001262F9">
        <w:rPr>
          <w:rFonts w:asciiTheme="minorHAnsi" w:hAnsiTheme="minorHAnsi" w:cstheme="minorHAnsi"/>
        </w:rPr>
        <w:t>nments, and</w:t>
      </w:r>
      <w:r w:rsidRPr="00FB5C24">
        <w:rPr>
          <w:rFonts w:asciiTheme="minorHAnsi" w:hAnsiTheme="minorHAnsi" w:cstheme="minorHAnsi"/>
        </w:rPr>
        <w:t xml:space="preserve"> application</w:t>
      </w:r>
      <w:r w:rsidR="001262F9">
        <w:rPr>
          <w:rFonts w:asciiTheme="minorHAnsi" w:hAnsiTheme="minorHAnsi" w:cstheme="minorHAnsi"/>
        </w:rPr>
        <w:t>s</w:t>
      </w:r>
      <w:r w:rsidRPr="00FB5C24">
        <w:rPr>
          <w:rFonts w:asciiTheme="minorHAnsi" w:hAnsiTheme="minorHAnsi" w:cstheme="minorHAnsi"/>
        </w:rPr>
        <w:t xml:space="preserve"> in Excel</w:t>
      </w:r>
      <w:r>
        <w:rPr>
          <w:rFonts w:asciiTheme="minorHAnsi" w:hAnsiTheme="minorHAnsi" w:cstheme="minorHAnsi"/>
        </w:rPr>
        <w:t>.</w:t>
      </w:r>
    </w:p>
    <w:sectPr w:rsidR="00204984" w:rsidRPr="00A35205">
      <w:headerReference w:type="default" r:id="rId9"/>
      <w:footerReference w:type="default" r:id="rId10"/>
      <w:pgSz w:w="12240" w:h="15840"/>
      <w:pgMar w:top="1080" w:right="1080" w:bottom="1497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A396A" w14:textId="77777777" w:rsidR="00DE13A2" w:rsidRDefault="00DE13A2">
      <w:pPr>
        <w:spacing w:after="0" w:line="240" w:lineRule="auto"/>
      </w:pPr>
      <w:r>
        <w:separator/>
      </w:r>
    </w:p>
  </w:endnote>
  <w:endnote w:type="continuationSeparator" w:id="0">
    <w:p w14:paraId="767611C5" w14:textId="77777777" w:rsidR="00DE13A2" w:rsidRDefault="00DE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t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DBE7" w14:textId="249E8852" w:rsidR="00204984" w:rsidRDefault="00DF4FC6">
    <w:pPr>
      <w:spacing w:after="1440"/>
      <w:jc w:val="center"/>
    </w:pPr>
    <w:r>
      <w:fldChar w:fldCharType="begin"/>
    </w:r>
    <w:r>
      <w:instrText>PAGE</w:instrText>
    </w:r>
    <w:r>
      <w:fldChar w:fldCharType="separate"/>
    </w:r>
    <w:r w:rsidR="004663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3053" w14:textId="77777777" w:rsidR="00DE13A2" w:rsidRDefault="00DE13A2">
      <w:pPr>
        <w:spacing w:after="0" w:line="240" w:lineRule="auto"/>
      </w:pPr>
      <w:r>
        <w:separator/>
      </w:r>
    </w:p>
  </w:footnote>
  <w:footnote w:type="continuationSeparator" w:id="0">
    <w:p w14:paraId="21113C5D" w14:textId="77777777" w:rsidR="00DE13A2" w:rsidRDefault="00DE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02A05" w14:textId="10EFA12D" w:rsidR="00653505" w:rsidRPr="00653505" w:rsidRDefault="00653505" w:rsidP="00653505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MBA 5510</w:t>
    </w:r>
    <w:r w:rsidRPr="00BD646F"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t>Investments</w:t>
    </w:r>
    <w:r w:rsidRPr="00BD646F">
      <w:rPr>
        <w:rFonts w:asciiTheme="minorHAnsi" w:hAnsiTheme="minorHAnsi" w:cstheme="minorHAnsi"/>
      </w:rPr>
      <w:ptab w:relativeTo="margin" w:alignment="right" w:leader="none"/>
    </w:r>
    <w:r w:rsidR="00401412">
      <w:rPr>
        <w:rFonts w:asciiTheme="minorHAnsi" w:hAnsiTheme="minorHAnsi" w:cstheme="minorHAnsi"/>
      </w:rPr>
      <w:t>Fall</w:t>
    </w:r>
    <w:r>
      <w:rPr>
        <w:rFonts w:asciiTheme="minorHAnsi" w:hAnsiTheme="minorHAnsi" w:cstheme="minorHAnsi"/>
      </w:rPr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B1F88"/>
    <w:multiLevelType w:val="multilevel"/>
    <w:tmpl w:val="C74412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FDA48E4"/>
    <w:multiLevelType w:val="hybridMultilevel"/>
    <w:tmpl w:val="4080D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84"/>
    <w:rsid w:val="00031DFD"/>
    <w:rsid w:val="00056364"/>
    <w:rsid w:val="00064177"/>
    <w:rsid w:val="001262F9"/>
    <w:rsid w:val="00164194"/>
    <w:rsid w:val="00204984"/>
    <w:rsid w:val="00244004"/>
    <w:rsid w:val="003F2435"/>
    <w:rsid w:val="00401412"/>
    <w:rsid w:val="004663AA"/>
    <w:rsid w:val="004B5100"/>
    <w:rsid w:val="005E688F"/>
    <w:rsid w:val="00621AEC"/>
    <w:rsid w:val="00644A8B"/>
    <w:rsid w:val="00653505"/>
    <w:rsid w:val="0082003F"/>
    <w:rsid w:val="00885F56"/>
    <w:rsid w:val="008A70A4"/>
    <w:rsid w:val="00934847"/>
    <w:rsid w:val="009F56F2"/>
    <w:rsid w:val="00A35205"/>
    <w:rsid w:val="00A876E0"/>
    <w:rsid w:val="00AB2750"/>
    <w:rsid w:val="00AC54FD"/>
    <w:rsid w:val="00B214DB"/>
    <w:rsid w:val="00B700B0"/>
    <w:rsid w:val="00B73F20"/>
    <w:rsid w:val="00BD225B"/>
    <w:rsid w:val="00C81498"/>
    <w:rsid w:val="00DA21F1"/>
    <w:rsid w:val="00DE13A2"/>
    <w:rsid w:val="00DF4FC6"/>
    <w:rsid w:val="00E53D6F"/>
    <w:rsid w:val="00E60B8C"/>
    <w:rsid w:val="00F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661C"/>
  <w15:docId w15:val="{B974196F-26D5-4C19-81F9-6F2691B0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llerta" w:eastAsia="Allerta" w:hAnsi="Allerta" w:cs="Allerta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pPr>
      <w:keepNext/>
      <w:keepLines/>
      <w:ind w:left="1725" w:hanging="1545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pPr>
      <w:keepNext/>
      <w:keepLines/>
      <w:ind w:left="3045" w:hanging="2865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pPr>
      <w:keepNext/>
      <w:keepLines/>
      <w:ind w:left="180"/>
      <w:jc w:val="center"/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nhideWhenUsed/>
    <w:rsid w:val="00653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05"/>
  </w:style>
  <w:style w:type="paragraph" w:styleId="Footer">
    <w:name w:val="footer"/>
    <w:basedOn w:val="Normal"/>
    <w:link w:val="FooterChar"/>
    <w:uiPriority w:val="99"/>
    <w:unhideWhenUsed/>
    <w:rsid w:val="00653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05"/>
  </w:style>
  <w:style w:type="character" w:styleId="Hyperlink">
    <w:name w:val="Hyperlink"/>
    <w:basedOn w:val="DefaultParagraphFont"/>
    <w:uiPriority w:val="99"/>
    <w:unhideWhenUsed/>
    <w:rsid w:val="0065350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rsid w:val="00653505"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53505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Mention">
    <w:name w:val="Mention"/>
    <w:basedOn w:val="DefaultParagraphFont"/>
    <w:uiPriority w:val="99"/>
    <w:rsid w:val="00885F56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rsid w:val="000641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nect.mheducation.com/class/s-rush-fall-20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rush@bg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Dove</dc:creator>
  <cp:lastModifiedBy>Kelly Dove</cp:lastModifiedBy>
  <cp:revision>2</cp:revision>
  <dcterms:created xsi:type="dcterms:W3CDTF">2017-11-28T18:02:00Z</dcterms:created>
  <dcterms:modified xsi:type="dcterms:W3CDTF">2017-11-28T18:02:00Z</dcterms:modified>
</cp:coreProperties>
</file>