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5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Program:</w:t>
      </w:r>
    </w:p>
    <w:p w:rsidR="00067905" w:rsidRPr="00E20AA5" w:rsidRDefault="00D16F5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>Submitted By</w:t>
      </w:r>
      <w:r w:rsidR="00067905" w:rsidRPr="00E20AA5">
        <w:rPr>
          <w:rFonts w:asciiTheme="majorHAnsi" w:hAnsiTheme="majorHAnsi"/>
          <w:sz w:val="20"/>
          <w:szCs w:val="20"/>
        </w:rPr>
        <w:t xml:space="preserve"> (Name &amp; Date)</w:t>
      </w:r>
      <w:r w:rsidRPr="00E20AA5">
        <w:rPr>
          <w:rFonts w:asciiTheme="majorHAnsi" w:hAnsiTheme="majorHAnsi"/>
          <w:sz w:val="20"/>
          <w:szCs w:val="20"/>
        </w:rPr>
        <w:t xml:space="preserve">: </w:t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  <w:r w:rsidR="00067905" w:rsidRPr="00E20AA5">
        <w:rPr>
          <w:rFonts w:asciiTheme="majorHAnsi" w:hAnsiTheme="majorHAnsi"/>
          <w:sz w:val="20"/>
          <w:szCs w:val="20"/>
        </w:rPr>
        <w:tab/>
      </w:r>
    </w:p>
    <w:p w:rsidR="00D16F55" w:rsidRPr="00E20AA5" w:rsidRDefault="00067905" w:rsidP="00067905">
      <w:pPr>
        <w:spacing w:after="120"/>
        <w:rPr>
          <w:rFonts w:asciiTheme="majorHAnsi" w:hAnsiTheme="majorHAnsi"/>
          <w:sz w:val="20"/>
          <w:szCs w:val="20"/>
        </w:rPr>
      </w:pPr>
      <w:r w:rsidRPr="00E20AA5">
        <w:rPr>
          <w:rFonts w:asciiTheme="majorHAnsi" w:hAnsiTheme="majorHAnsi"/>
          <w:sz w:val="20"/>
          <w:szCs w:val="20"/>
        </w:rPr>
        <w:t xml:space="preserve">Academic Year (Summer, Fall, and Spring): </w:t>
      </w:r>
    </w:p>
    <w:tbl>
      <w:tblPr>
        <w:tblStyle w:val="TableGrid"/>
        <w:tblW w:w="147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430"/>
        <w:gridCol w:w="900"/>
        <w:gridCol w:w="990"/>
        <w:gridCol w:w="1080"/>
        <w:gridCol w:w="1080"/>
        <w:gridCol w:w="720"/>
        <w:gridCol w:w="720"/>
        <w:gridCol w:w="810"/>
        <w:gridCol w:w="810"/>
        <w:gridCol w:w="2700"/>
        <w:gridCol w:w="810"/>
        <w:gridCol w:w="720"/>
        <w:gridCol w:w="990"/>
      </w:tblGrid>
      <w:tr w:rsidR="00C61372" w:rsidRPr="00E20AA5" w:rsidTr="00E20AA5">
        <w:tc>
          <w:tcPr>
            <w:tcW w:w="2430" w:type="dxa"/>
            <w:vMerge w:val="restart"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A. Program Learning Outcome(s) Assessed (these should be observable and measureable)</w:t>
            </w:r>
          </w:p>
        </w:tc>
        <w:tc>
          <w:tcPr>
            <w:tcW w:w="7110" w:type="dxa"/>
            <w:gridSpan w:val="8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B. Method &amp; Procedure*(see details below)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C. Expectations for Student Achievement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(indicate the target level of achievement, goals, or standards used for each measure or assessment)</w:t>
            </w:r>
          </w:p>
        </w:tc>
        <w:tc>
          <w:tcPr>
            <w:tcW w:w="2520" w:type="dxa"/>
            <w:gridSpan w:val="3"/>
            <w:vMerge w:val="restart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D. Results</w:t>
            </w:r>
          </w:p>
          <w:p w:rsidR="00C61372" w:rsidRPr="00E20AA5" w:rsidRDefault="00C61372" w:rsidP="00D71E0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(% of Students Within Each Category)</w:t>
            </w:r>
            <w:r w:rsidR="00D71E0F" w:rsidRPr="00762BB7">
              <w:rPr>
                <w:sz w:val="16"/>
                <w:szCs w:val="16"/>
              </w:rPr>
              <w:t>2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(provide results of each assessment method; report how well students performed in relation to target level of achievement)</w:t>
            </w:r>
          </w:p>
        </w:tc>
      </w:tr>
      <w:tr w:rsidR="00777E3B" w:rsidRPr="00E20AA5" w:rsidTr="00E20AA5">
        <w:trPr>
          <w:trHeight w:val="2528"/>
        </w:trPr>
        <w:tc>
          <w:tcPr>
            <w:tcW w:w="2430" w:type="dxa"/>
            <w:vMerge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67747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Who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(provide information about who completed the assessment for the corresponding program learning outcome)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D71E0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Type</w:t>
            </w:r>
            <w:r w:rsidR="009E02D0"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(Direct measures</w:t>
            </w:r>
            <w:r w:rsidR="00D71E0F" w:rsidRPr="00E20AA5">
              <w:rPr>
                <w:rStyle w:val="FootnoteReference"/>
                <w:rFonts w:asciiTheme="majorHAnsi" w:hAnsiTheme="majorHAnsi"/>
                <w:b/>
                <w:sz w:val="18"/>
                <w:szCs w:val="18"/>
              </w:rPr>
              <w:footnoteReference w:id="1"/>
            </w:r>
            <w:r w:rsidR="009E02D0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assess student achievement of LOs, e.g., projects, papers, exams, a prescribed formalized test, or other program requirements, e.g., portfolio.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 xml:space="preserve">Indirect measures assess thoughts about LOs,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e.g., surveys or focus groups.)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Embedded Assessment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>(data are embedded as part of the requirement for a course)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:rsidR="00C61372" w:rsidRPr="00E20AA5" w:rsidRDefault="00C61372" w:rsidP="00D67E27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Capstone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br/>
              <w:t xml:space="preserve">(data </w:t>
            </w:r>
            <w:r w:rsidR="00E20AA5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are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collected within a capstone class/assignment; a </w:t>
            </w:r>
            <w:r w:rsidR="00E20AA5" w:rsidRPr="00E20AA5">
              <w:rPr>
                <w:rFonts w:asciiTheme="majorHAnsi" w:hAnsiTheme="majorHAnsi"/>
                <w:b/>
                <w:sz w:val="18"/>
                <w:szCs w:val="18"/>
              </w:rPr>
              <w:t xml:space="preserve">capstone is a </w:t>
            </w:r>
            <w:r w:rsidRPr="00E20AA5">
              <w:rPr>
                <w:rFonts w:asciiTheme="majorHAnsi" w:hAnsiTheme="majorHAnsi"/>
                <w:b/>
                <w:sz w:val="18"/>
                <w:szCs w:val="18"/>
              </w:rPr>
              <w:t>culminating experience that integrates and applies learning)</w:t>
            </w: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:rsidR="00C61372" w:rsidRPr="00E20AA5" w:rsidRDefault="00C61372" w:rsidP="00D16F5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Merge/>
            <w:shd w:val="clear" w:color="auto" w:fill="D9D9D9" w:themeFill="background1" w:themeFillShade="D9"/>
          </w:tcPr>
          <w:p w:rsidR="00C61372" w:rsidRPr="00E20AA5" w:rsidRDefault="00C61372" w:rsidP="00E2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rPr>
          <w:trHeight w:val="485"/>
        </w:trPr>
        <w:tc>
          <w:tcPr>
            <w:tcW w:w="2430" w:type="dxa"/>
            <w:vMerge/>
            <w:shd w:val="clear" w:color="auto" w:fill="D9D9D9" w:themeFill="background1" w:themeFillShade="D9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# of Students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Class/</w:t>
            </w:r>
            <w:r w:rsidRPr="00E20AA5">
              <w:rPr>
                <w:rFonts w:asciiTheme="majorHAnsi" w:hAnsiTheme="majorHAnsi"/>
                <w:sz w:val="18"/>
                <w:szCs w:val="18"/>
              </w:rPr>
              <w:br/>
              <w:t>Course Level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Direct</w:t>
            </w:r>
            <w:r w:rsidRPr="00E20AA5">
              <w:rPr>
                <w:rFonts w:asciiTheme="majorHAnsi" w:hAnsiTheme="majorHAnsi"/>
                <w:sz w:val="18"/>
                <w:szCs w:val="18"/>
              </w:rPr>
              <w:br/>
              <w:t>(preferred)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Indirect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No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Did Not Meet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Met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Theme="majorHAnsi" w:hAnsiTheme="majorHAnsi"/>
                <w:sz w:val="18"/>
                <w:szCs w:val="18"/>
              </w:rPr>
              <w:t>% Exceeded</w:t>
            </w: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e.g., Upon completion of the degree, students are expected to be able to: Evaluate ethical frameworks and choose and defend a solution.**</w:t>
            </w:r>
          </w:p>
        </w:tc>
        <w:tc>
          <w:tcPr>
            <w:tcW w:w="90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Juniors; LEGS 3010 *See Rubric Attached</w:t>
            </w:r>
          </w:p>
        </w:tc>
        <w:tc>
          <w:tcPr>
            <w:tcW w:w="108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108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i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1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="MS Gothic" w:eastAsia="MS Gothic" w:hAnsi="MS Gothic"/>
                <w:i/>
                <w:color w:val="000000"/>
                <w:sz w:val="18"/>
                <w:szCs w:val="18"/>
              </w:rPr>
              <w:t>☐</w:t>
            </w:r>
          </w:p>
        </w:tc>
        <w:tc>
          <w:tcPr>
            <w:tcW w:w="81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20AA5">
              <w:rPr>
                <w:rFonts w:ascii="Wingdings" w:hAnsi="Wingdings"/>
                <w:color w:val="000000"/>
                <w:sz w:val="18"/>
                <w:szCs w:val="18"/>
              </w:rPr>
              <w:t>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We expected that 80% of student</w:t>
            </w:r>
            <w:r w:rsidR="00C55377">
              <w:rPr>
                <w:rFonts w:asciiTheme="majorHAnsi" w:hAnsiTheme="majorHAnsi"/>
                <w:i/>
                <w:sz w:val="18"/>
                <w:szCs w:val="18"/>
              </w:rPr>
              <w:t>s</w:t>
            </w: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 xml:space="preserve"> will have achieved a 2</w:t>
            </w:r>
            <w:r w:rsidR="00E20AA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(meeting expectations) or higher on the assessment.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15%</w:t>
            </w:r>
          </w:p>
        </w:tc>
        <w:tc>
          <w:tcPr>
            <w:tcW w:w="72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70%</w:t>
            </w:r>
          </w:p>
        </w:tc>
        <w:tc>
          <w:tcPr>
            <w:tcW w:w="990" w:type="dxa"/>
          </w:tcPr>
          <w:p w:rsidR="00C61372" w:rsidRPr="00E20AA5" w:rsidRDefault="00C61372" w:rsidP="00C61372">
            <w:pPr>
              <w:jc w:val="center"/>
              <w:rPr>
                <w:rFonts w:asciiTheme="majorHAnsi" w:hAnsiTheme="majorHAnsi"/>
                <w:i/>
                <w:sz w:val="18"/>
                <w:szCs w:val="18"/>
              </w:rPr>
            </w:pPr>
            <w:r w:rsidRPr="00E20AA5">
              <w:rPr>
                <w:rFonts w:asciiTheme="majorHAnsi" w:hAnsiTheme="majorHAnsi"/>
                <w:i/>
                <w:sz w:val="18"/>
                <w:szCs w:val="18"/>
              </w:rPr>
              <w:t>15%</w:t>
            </w: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8476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1206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209358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23297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3899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3818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57843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96048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97878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2877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29197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8567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37030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7628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79042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55350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97733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6075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31295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08965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44784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79462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169877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7107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20AA5" w:rsidRPr="00E20AA5" w:rsidTr="00E20AA5">
        <w:tc>
          <w:tcPr>
            <w:tcW w:w="243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0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sdt>
          <w:sdtPr>
            <w:rPr>
              <w:rStyle w:val="BigCheckbox"/>
              <w:sz w:val="18"/>
              <w:szCs w:val="18"/>
            </w:rPr>
            <w:id w:val="-1848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207295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108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172086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210803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72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-60881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Style w:val="BigCheckbox"/>
              <w:sz w:val="18"/>
              <w:szCs w:val="18"/>
            </w:rPr>
            <w:id w:val="98366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igCheckbox"/>
            </w:rPr>
          </w:sdtEndPr>
          <w:sdtContent>
            <w:tc>
              <w:tcPr>
                <w:tcW w:w="810" w:type="dxa"/>
              </w:tcPr>
              <w:p w:rsidR="00C61372" w:rsidRPr="002573BB" w:rsidRDefault="002573BB" w:rsidP="00C61372">
                <w:pPr>
                  <w:jc w:val="center"/>
                  <w:rPr>
                    <w:rFonts w:asciiTheme="majorHAnsi" w:hAnsiTheme="majorHAnsi"/>
                    <w:sz w:val="18"/>
                    <w:szCs w:val="18"/>
                  </w:rPr>
                </w:pPr>
                <w:r w:rsidRPr="002573BB">
                  <w:rPr>
                    <w:rStyle w:val="BigCheckbox"/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00" w:type="dxa"/>
            <w:tcBorders>
              <w:righ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:rsidR="00C61372" w:rsidRPr="00E20AA5" w:rsidRDefault="00C61372" w:rsidP="00C6137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16F55" w:rsidRPr="00777E3B" w:rsidRDefault="001A6375" w:rsidP="00D16F55">
      <w:pPr>
        <w:rPr>
          <w:rFonts w:asciiTheme="majorHAnsi" w:hAnsiTheme="majorHAnsi"/>
          <w:i/>
          <w:sz w:val="16"/>
          <w:szCs w:val="16"/>
        </w:rPr>
      </w:pPr>
      <w:r w:rsidRPr="00777E3B">
        <w:rPr>
          <w:rFonts w:asciiTheme="majorHAnsi" w:hAnsiTheme="majorHAnsi"/>
          <w:i/>
          <w:sz w:val="16"/>
          <w:szCs w:val="16"/>
        </w:rPr>
        <w:t>*</w:t>
      </w:r>
      <w:r w:rsidR="00665FBC" w:rsidRPr="00777E3B">
        <w:rPr>
          <w:rFonts w:asciiTheme="majorHAnsi" w:hAnsiTheme="majorHAnsi"/>
          <w:i/>
          <w:sz w:val="16"/>
          <w:szCs w:val="16"/>
        </w:rPr>
        <w:t xml:space="preserve">*Please list one course per line. </w:t>
      </w:r>
    </w:p>
    <w:p w:rsidR="00665FBC" w:rsidRPr="00777E3B" w:rsidRDefault="00665FBC" w:rsidP="00D16F55">
      <w:pPr>
        <w:rPr>
          <w:rFonts w:asciiTheme="majorHAnsi" w:hAnsiTheme="majorHAnsi"/>
          <w:b/>
          <w:sz w:val="16"/>
          <w:szCs w:val="16"/>
        </w:rPr>
      </w:pPr>
    </w:p>
    <w:p w:rsidR="001A6375" w:rsidRPr="00E20AA5" w:rsidRDefault="001A6375" w:rsidP="00E20AA5">
      <w:pPr>
        <w:rPr>
          <w:rFonts w:ascii="MS Gothic" w:eastAsia="MS Gothic" w:hAnsi="MS Gothic"/>
          <w:color w:val="000000"/>
          <w:sz w:val="18"/>
          <w:szCs w:val="18"/>
        </w:rPr>
      </w:pPr>
      <w:r w:rsidRPr="00E20AA5">
        <w:rPr>
          <w:rFonts w:asciiTheme="majorHAnsi" w:hAnsiTheme="majorHAnsi"/>
          <w:b/>
          <w:sz w:val="18"/>
          <w:szCs w:val="18"/>
        </w:rPr>
        <w:t xml:space="preserve">*B. Method &amp; Procedure Explanation: </w:t>
      </w:r>
      <w:r w:rsidR="00BC4841" w:rsidRPr="00E20AA5">
        <w:rPr>
          <w:rFonts w:asciiTheme="majorHAnsi" w:hAnsiTheme="majorHAnsi"/>
          <w:b/>
          <w:sz w:val="18"/>
          <w:szCs w:val="18"/>
        </w:rPr>
        <w:t>P</w:t>
      </w:r>
      <w:r w:rsidRPr="00E20AA5">
        <w:rPr>
          <w:rFonts w:asciiTheme="majorHAnsi" w:hAnsiTheme="majorHAnsi"/>
          <w:b/>
          <w:sz w:val="18"/>
          <w:szCs w:val="18"/>
        </w:rPr>
        <w:t>rovide a brief description of the assessment(s)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and rubric(s)</w:t>
      </w:r>
      <w:r w:rsidRPr="00E20AA5">
        <w:rPr>
          <w:rFonts w:asciiTheme="majorHAnsi" w:hAnsiTheme="majorHAnsi"/>
          <w:b/>
          <w:sz w:val="18"/>
          <w:szCs w:val="18"/>
        </w:rPr>
        <w:t xml:space="preserve"> used</w:t>
      </w:r>
      <w:r w:rsidR="00D67E27" w:rsidRPr="00E20AA5">
        <w:rPr>
          <w:rFonts w:asciiTheme="majorHAnsi" w:hAnsiTheme="majorHAnsi"/>
          <w:b/>
          <w:sz w:val="18"/>
          <w:szCs w:val="18"/>
        </w:rPr>
        <w:t xml:space="preserve"> to illustrate how expectations for student achievement are defined</w:t>
      </w:r>
      <w:r w:rsidRPr="00E20AA5">
        <w:rPr>
          <w:rFonts w:asciiTheme="majorHAnsi" w:hAnsiTheme="majorHAnsi"/>
          <w:b/>
          <w:sz w:val="18"/>
          <w:szCs w:val="18"/>
        </w:rPr>
        <w:t xml:space="preserve"> or attach a copy. </w:t>
      </w:r>
      <w:r w:rsidR="00DF3C0D" w:rsidRPr="00E20AA5">
        <w:rPr>
          <w:rFonts w:asciiTheme="majorHAnsi" w:hAnsiTheme="majorHAnsi"/>
          <w:b/>
          <w:sz w:val="18"/>
          <w:szCs w:val="18"/>
        </w:rPr>
        <w:br/>
        <w:t>Check here i</w:t>
      </w:r>
      <w:r w:rsidR="003A5241" w:rsidRPr="00E20AA5">
        <w:rPr>
          <w:rFonts w:asciiTheme="majorHAnsi" w:hAnsiTheme="majorHAnsi"/>
          <w:b/>
          <w:sz w:val="18"/>
          <w:szCs w:val="18"/>
        </w:rPr>
        <w:t>f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906FAA" w:rsidRPr="00E20AA5">
        <w:rPr>
          <w:rFonts w:asciiTheme="majorHAnsi" w:hAnsiTheme="majorHAnsi"/>
          <w:b/>
          <w:sz w:val="18"/>
          <w:szCs w:val="18"/>
        </w:rPr>
        <w:t xml:space="preserve">an </w:t>
      </w:r>
      <w:r w:rsidR="00DF3C0D" w:rsidRPr="00E20AA5">
        <w:rPr>
          <w:rFonts w:asciiTheme="majorHAnsi" w:hAnsiTheme="majorHAnsi"/>
          <w:b/>
          <w:sz w:val="18"/>
          <w:szCs w:val="18"/>
        </w:rPr>
        <w:t>attachment is included</w:t>
      </w:r>
      <w:r w:rsidR="00906FAA" w:rsidRPr="00E20AA5">
        <w:rPr>
          <w:rFonts w:asciiTheme="majorHAnsi" w:hAnsiTheme="majorHAnsi"/>
          <w:b/>
          <w:sz w:val="18"/>
          <w:szCs w:val="18"/>
        </w:rPr>
        <w:t>.</w:t>
      </w:r>
      <w:r w:rsidR="00DF3C0D" w:rsidRPr="00E20AA5">
        <w:rPr>
          <w:rFonts w:asciiTheme="majorHAnsi" w:hAnsiTheme="majorHAnsi"/>
          <w:b/>
          <w:sz w:val="18"/>
          <w:szCs w:val="18"/>
        </w:rPr>
        <w:t xml:space="preserve"> </w:t>
      </w:r>
      <w:sdt>
        <w:sdtPr>
          <w:rPr>
            <w:rStyle w:val="BigCheckbox"/>
            <w:sz w:val="18"/>
            <w:szCs w:val="18"/>
          </w:rPr>
          <w:id w:val="-1156459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igCheckbox"/>
          </w:rPr>
        </w:sdtEndPr>
        <w:sdtContent>
          <w:r w:rsidR="00A00CE3">
            <w:rPr>
              <w:rStyle w:val="BigCheckbox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:rsidR="00141F5B" w:rsidRPr="00E20AA5" w:rsidRDefault="001A6375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  <w:r w:rsidR="00B84D21" w:rsidRPr="00E20AA5">
        <w:rPr>
          <w:rFonts w:asciiTheme="majorHAnsi" w:hAnsiTheme="majorHAnsi"/>
          <w:sz w:val="18"/>
          <w:szCs w:val="18"/>
        </w:rPr>
        <w:t xml:space="preserve"> </w:t>
      </w:r>
    </w:p>
    <w:p w:rsidR="00E20AA5" w:rsidRDefault="00E20AA5" w:rsidP="00D16F55">
      <w:pPr>
        <w:rPr>
          <w:rFonts w:asciiTheme="majorHAnsi" w:hAnsiTheme="majorHAnsi"/>
          <w:b/>
          <w:sz w:val="18"/>
          <w:szCs w:val="18"/>
        </w:rPr>
      </w:pPr>
    </w:p>
    <w:p w:rsidR="00E243C2" w:rsidRPr="00E20AA5" w:rsidRDefault="000B113C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b/>
          <w:sz w:val="18"/>
          <w:szCs w:val="18"/>
        </w:rPr>
        <w:t>E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. </w:t>
      </w:r>
      <w:r w:rsidR="00E243C2" w:rsidRPr="00E20AA5">
        <w:rPr>
          <w:rFonts w:asciiTheme="majorHAnsi" w:hAnsiTheme="majorHAnsi"/>
          <w:b/>
          <w:sz w:val="18"/>
          <w:szCs w:val="18"/>
        </w:rPr>
        <w:t>Actions Taken/Closing the Loop:</w:t>
      </w:r>
      <w:r w:rsidR="001A6375" w:rsidRPr="00E20AA5">
        <w:rPr>
          <w:rFonts w:asciiTheme="majorHAnsi" w:hAnsiTheme="majorHAnsi"/>
          <w:b/>
          <w:sz w:val="18"/>
          <w:szCs w:val="18"/>
        </w:rPr>
        <w:t xml:space="preserve"> </w:t>
      </w:r>
      <w:r w:rsidR="00A142B7" w:rsidRPr="00E20AA5">
        <w:rPr>
          <w:rFonts w:asciiTheme="majorHAnsi" w:hAnsiTheme="majorHAnsi"/>
          <w:b/>
          <w:sz w:val="18"/>
          <w:szCs w:val="18"/>
        </w:rPr>
        <w:t>Describe how the results have been shared with program faculty</w:t>
      </w:r>
      <w:r w:rsidR="00C36D77" w:rsidRPr="00E20AA5">
        <w:rPr>
          <w:rFonts w:asciiTheme="majorHAnsi" w:hAnsiTheme="majorHAnsi"/>
          <w:b/>
          <w:sz w:val="18"/>
          <w:szCs w:val="18"/>
        </w:rPr>
        <w:t>,</w:t>
      </w:r>
      <w:r w:rsidR="00A142B7" w:rsidRPr="00E20AA5">
        <w:rPr>
          <w:rFonts w:asciiTheme="majorHAnsi" w:hAnsiTheme="majorHAnsi"/>
          <w:b/>
          <w:sz w:val="18"/>
          <w:szCs w:val="18"/>
        </w:rPr>
        <w:t xml:space="preserve"> and how they have provided input into decisions about curriculum improvements. Describe the connection between assessment results and program changes. </w:t>
      </w:r>
      <w:r w:rsidR="001A6375" w:rsidRPr="00E20AA5">
        <w:rPr>
          <w:rFonts w:asciiTheme="majorHAnsi" w:hAnsiTheme="majorHAnsi"/>
          <w:b/>
          <w:sz w:val="18"/>
          <w:szCs w:val="18"/>
        </w:rPr>
        <w:t>Are there any additional actions that have been taken regarding the pre</w:t>
      </w:r>
      <w:r w:rsidR="00A142B7" w:rsidRPr="00E20AA5">
        <w:rPr>
          <w:rFonts w:asciiTheme="majorHAnsi" w:hAnsiTheme="majorHAnsi"/>
          <w:b/>
          <w:sz w:val="18"/>
          <w:szCs w:val="18"/>
        </w:rPr>
        <w:t>vious year’s learning outcomes?</w:t>
      </w:r>
    </w:p>
    <w:p w:rsidR="00036121" w:rsidRDefault="00E243C2" w:rsidP="00D16F55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</w:p>
    <w:p w:rsidR="00D12B3B" w:rsidRDefault="00D12B3B" w:rsidP="00D16F55">
      <w:pPr>
        <w:rPr>
          <w:rFonts w:asciiTheme="majorHAnsi" w:hAnsiTheme="majorHAnsi"/>
          <w:sz w:val="18"/>
          <w:szCs w:val="18"/>
        </w:rPr>
      </w:pPr>
    </w:p>
    <w:p w:rsidR="00D12B3B" w:rsidRDefault="00D12B3B" w:rsidP="00D16F55">
      <w:pPr>
        <w:rPr>
          <w:rFonts w:asciiTheme="majorHAnsi" w:hAnsiTheme="majorHAnsi"/>
          <w:sz w:val="18"/>
          <w:szCs w:val="18"/>
        </w:rPr>
      </w:pPr>
    </w:p>
    <w:p w:rsidR="00D12B3B" w:rsidRDefault="00D12B3B" w:rsidP="00D16F55">
      <w:pPr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Reflection – </w:t>
      </w:r>
      <w:r w:rsidR="00FF5372">
        <w:rPr>
          <w:rFonts w:asciiTheme="majorHAnsi" w:hAnsiTheme="majorHAnsi"/>
          <w:b/>
          <w:sz w:val="18"/>
          <w:szCs w:val="18"/>
        </w:rPr>
        <w:t>If applicable, h</w:t>
      </w:r>
      <w:r>
        <w:rPr>
          <w:rFonts w:asciiTheme="majorHAnsi" w:hAnsiTheme="majorHAnsi"/>
          <w:b/>
          <w:sz w:val="18"/>
          <w:szCs w:val="18"/>
        </w:rPr>
        <w:t xml:space="preserve">ow did </w:t>
      </w:r>
      <w:r w:rsidR="0062018C">
        <w:rPr>
          <w:rFonts w:asciiTheme="majorHAnsi" w:hAnsiTheme="majorHAnsi"/>
          <w:b/>
          <w:sz w:val="18"/>
          <w:szCs w:val="18"/>
        </w:rPr>
        <w:t xml:space="preserve">this past year </w:t>
      </w:r>
      <w:r>
        <w:rPr>
          <w:rFonts w:asciiTheme="majorHAnsi" w:hAnsiTheme="majorHAnsi"/>
          <w:b/>
          <w:sz w:val="18"/>
          <w:szCs w:val="18"/>
        </w:rPr>
        <w:t>impact the delivery and measurement of your program learning outcomes? Were there any process modifications?</w:t>
      </w:r>
    </w:p>
    <w:p w:rsidR="00D12B3B" w:rsidRDefault="00D12B3B" w:rsidP="00D12B3B">
      <w:pPr>
        <w:rPr>
          <w:rFonts w:asciiTheme="majorHAnsi" w:hAnsiTheme="majorHAnsi"/>
          <w:sz w:val="18"/>
          <w:szCs w:val="18"/>
        </w:rPr>
      </w:pPr>
      <w:r w:rsidRPr="00E20AA5">
        <w:rPr>
          <w:rFonts w:asciiTheme="majorHAnsi" w:hAnsiTheme="majorHAnsi"/>
          <w:sz w:val="18"/>
          <w:szCs w:val="18"/>
        </w:rPr>
        <w:t>[Text Box]</w:t>
      </w:r>
    </w:p>
    <w:p w:rsidR="00D12B3B" w:rsidRPr="00D12B3B" w:rsidRDefault="00D12B3B" w:rsidP="00D16F55">
      <w:pPr>
        <w:rPr>
          <w:rFonts w:asciiTheme="majorHAnsi" w:hAnsiTheme="majorHAnsi"/>
          <w:b/>
          <w:sz w:val="18"/>
          <w:szCs w:val="18"/>
        </w:rPr>
      </w:pPr>
    </w:p>
    <w:sectPr w:rsidR="00D12B3B" w:rsidRPr="00D12B3B" w:rsidSect="00777E3B">
      <w:headerReference w:type="default" r:id="rId7"/>
      <w:footerReference w:type="default" r:id="rId8"/>
      <w:pgSz w:w="15840" w:h="12240" w:orient="landscape"/>
      <w:pgMar w:top="828" w:right="270" w:bottom="1008" w:left="810" w:header="36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917" w:rsidRDefault="00F87917" w:rsidP="00E73C7A">
      <w:r>
        <w:separator/>
      </w:r>
    </w:p>
  </w:endnote>
  <w:endnote w:type="continuationSeparator" w:id="0">
    <w:p w:rsidR="00F87917" w:rsidRDefault="00F87917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072" w:rsidRPr="00337D6F" w:rsidRDefault="00C55377">
    <w:pPr>
      <w:pStyle w:val="Footer"/>
      <w:rPr>
        <w:sz w:val="18"/>
        <w:szCs w:val="18"/>
      </w:rPr>
    </w:pPr>
    <w:r>
      <w:rPr>
        <w:sz w:val="18"/>
        <w:szCs w:val="18"/>
      </w:rPr>
      <w:t>5</w:t>
    </w:r>
    <w:r w:rsidR="0061436B">
      <w:rPr>
        <w:sz w:val="18"/>
        <w:szCs w:val="18"/>
      </w:rPr>
      <w:t>/</w:t>
    </w:r>
    <w:r w:rsidR="0062018C">
      <w:rPr>
        <w:sz w:val="18"/>
        <w:szCs w:val="18"/>
      </w:rPr>
      <w:t>7</w:t>
    </w:r>
    <w:r w:rsidR="001A6375">
      <w:rPr>
        <w:sz w:val="18"/>
        <w:szCs w:val="18"/>
      </w:rPr>
      <w:t>/</w:t>
    </w:r>
    <w:r w:rsidR="00D12B3B">
      <w:rPr>
        <w:sz w:val="18"/>
        <w:szCs w:val="18"/>
      </w:rPr>
      <w:t>202</w:t>
    </w:r>
    <w:r w:rsidR="0062018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917" w:rsidRDefault="00F87917" w:rsidP="00E73C7A">
      <w:r>
        <w:separator/>
      </w:r>
    </w:p>
  </w:footnote>
  <w:footnote w:type="continuationSeparator" w:id="0">
    <w:p w:rsidR="00F87917" w:rsidRDefault="00F87917" w:rsidP="00E73C7A">
      <w:r>
        <w:continuationSeparator/>
      </w:r>
    </w:p>
  </w:footnote>
  <w:footnote w:id="1">
    <w:p w:rsidR="00D71E0F" w:rsidRDefault="00D71E0F" w:rsidP="00D71E0F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C55377">
        <w:rPr>
          <w:sz w:val="16"/>
          <w:szCs w:val="16"/>
        </w:rPr>
        <w:t>Often d</w:t>
      </w:r>
      <w:r w:rsidRPr="009E02D0">
        <w:rPr>
          <w:sz w:val="16"/>
          <w:szCs w:val="16"/>
        </w:rPr>
        <w:t>irect measures are embedded</w:t>
      </w:r>
      <w:r w:rsidR="00C55377">
        <w:rPr>
          <w:sz w:val="16"/>
          <w:szCs w:val="16"/>
        </w:rPr>
        <w:t xml:space="preserve"> within the course</w:t>
      </w:r>
      <w:r w:rsidRPr="009E02D0">
        <w:rPr>
          <w:sz w:val="16"/>
          <w:szCs w:val="16"/>
        </w:rPr>
        <w:t xml:space="preserve">. However, for </w:t>
      </w:r>
      <w:r w:rsidR="00C55377">
        <w:rPr>
          <w:sz w:val="16"/>
          <w:szCs w:val="16"/>
        </w:rPr>
        <w:t>some</w:t>
      </w:r>
      <w:r w:rsidRPr="009E02D0">
        <w:rPr>
          <w:sz w:val="16"/>
          <w:szCs w:val="16"/>
        </w:rPr>
        <w:t xml:space="preserve"> accreditation</w:t>
      </w:r>
      <w:r w:rsidR="00C55377">
        <w:rPr>
          <w:sz w:val="16"/>
          <w:szCs w:val="16"/>
        </w:rPr>
        <w:t>s</w:t>
      </w:r>
      <w:r w:rsidRPr="009E02D0">
        <w:rPr>
          <w:sz w:val="16"/>
          <w:szCs w:val="16"/>
        </w:rPr>
        <w:t xml:space="preserve">, such as teaching, </w:t>
      </w:r>
      <w:r w:rsidR="00C55377">
        <w:rPr>
          <w:sz w:val="16"/>
          <w:szCs w:val="16"/>
        </w:rPr>
        <w:t>not all assessments are embedded</w:t>
      </w:r>
      <w:r w:rsidRPr="009E02D0">
        <w:rPr>
          <w:sz w:val="16"/>
          <w:szCs w:val="16"/>
        </w:rPr>
        <w:t>.</w:t>
      </w:r>
    </w:p>
    <w:p w:rsidR="00D71E0F" w:rsidRPr="00E20AA5" w:rsidRDefault="00D71E0F" w:rsidP="00E20AA5">
      <w:pPr>
        <w:rPr>
          <w:rFonts w:asciiTheme="majorHAnsi" w:hAnsiTheme="majorHAnsi" w:cs="Arial"/>
          <w:sz w:val="16"/>
          <w:szCs w:val="16"/>
        </w:rPr>
      </w:pPr>
      <w:r w:rsidRPr="00D71E0F">
        <w:rPr>
          <w:vertAlign w:val="superscript"/>
        </w:rPr>
        <w:t>2</w:t>
      </w:r>
      <w:r>
        <w:rPr>
          <w:sz w:val="16"/>
          <w:szCs w:val="16"/>
          <w:vertAlign w:val="superscript"/>
        </w:rPr>
        <w:t xml:space="preserve"> </w:t>
      </w:r>
      <w:r w:rsidRPr="00D67E27">
        <w:rPr>
          <w:rFonts w:asciiTheme="majorHAnsi" w:hAnsiTheme="majorHAnsi"/>
          <w:sz w:val="16"/>
          <w:szCs w:val="16"/>
        </w:rPr>
        <w:t xml:space="preserve">You may include tables, charts, or other visuals to highlight key findings, as appropriate. </w:t>
      </w:r>
      <w:r w:rsidRPr="00D67E27">
        <w:rPr>
          <w:rFonts w:asciiTheme="majorHAnsi" w:hAnsiTheme="majorHAnsi" w:cs="Arial"/>
          <w:sz w:val="16"/>
          <w:szCs w:val="16"/>
        </w:rPr>
        <w:t xml:space="preserve">Each program has the option of using rubrics in Canvas to assess Learning Outcomes.  If Canvas is used to collect assessment data, the </w:t>
      </w:r>
      <w:r>
        <w:rPr>
          <w:rFonts w:asciiTheme="majorHAnsi" w:hAnsiTheme="majorHAnsi" w:cs="Arial"/>
          <w:sz w:val="16"/>
          <w:szCs w:val="16"/>
        </w:rPr>
        <w:t xml:space="preserve">   </w:t>
      </w:r>
      <w:r w:rsidRPr="00D67E27">
        <w:rPr>
          <w:rFonts w:asciiTheme="majorHAnsi" w:hAnsiTheme="majorHAnsi" w:cs="Arial"/>
          <w:sz w:val="16"/>
          <w:szCs w:val="16"/>
        </w:rPr>
        <w:t xml:space="preserve">Office of Academic Assessment can pull assessment reports for the program upon request.  Please </w:t>
      </w:r>
      <w:r w:rsidR="00C55377">
        <w:rPr>
          <w:rFonts w:asciiTheme="majorHAnsi" w:hAnsiTheme="majorHAnsi" w:cs="Arial"/>
          <w:sz w:val="16"/>
          <w:szCs w:val="16"/>
        </w:rPr>
        <w:t>contact</w:t>
      </w:r>
      <w:r w:rsidRPr="00D67E27">
        <w:rPr>
          <w:rFonts w:asciiTheme="majorHAnsi" w:hAnsiTheme="majorHAnsi" w:cs="Arial"/>
          <w:sz w:val="16"/>
          <w:szCs w:val="16"/>
        </w:rPr>
        <w:t xml:space="preserve"> Jessica Turos (</w:t>
      </w:r>
      <w:hyperlink r:id="rId1" w:history="1">
        <w:r w:rsidRPr="00D67E27">
          <w:rPr>
            <w:rStyle w:val="Hyperlink"/>
            <w:rFonts w:asciiTheme="majorHAnsi" w:hAnsiTheme="majorHAnsi" w:cs="Arial"/>
            <w:sz w:val="16"/>
            <w:szCs w:val="16"/>
          </w:rPr>
          <w:t>jmturos@bgsu.edu</w:t>
        </w:r>
      </w:hyperlink>
      <w:r w:rsidRPr="00D67E27">
        <w:rPr>
          <w:rFonts w:asciiTheme="majorHAnsi" w:hAnsiTheme="majorHAnsi" w:cs="Arial"/>
          <w:sz w:val="16"/>
          <w:szCs w:val="16"/>
        </w:rPr>
        <w:t>) if you are interested in using Canvas as a collection method for program assessment data.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5B" w:rsidRPr="00141F5B" w:rsidRDefault="00141F5B" w:rsidP="00141F5B">
    <w:pPr>
      <w:rPr>
        <w:rFonts w:asciiTheme="majorHAnsi" w:hAnsiTheme="majorHAnsi" w:cs="Arial"/>
        <w:b/>
        <w:sz w:val="28"/>
        <w:szCs w:val="28"/>
      </w:rPr>
    </w:pPr>
    <w:r w:rsidRPr="001126FC">
      <w:rPr>
        <w:noProof/>
      </w:rPr>
      <w:drawing>
        <wp:inline distT="0" distB="0" distL="0" distR="0" wp14:anchorId="0BD79194" wp14:editId="67F8A385">
          <wp:extent cx="762000" cy="234462"/>
          <wp:effectExtent l="19050" t="0" r="0" b="0"/>
          <wp:docPr id="53" name="Picture 0" descr="BGSU logo no wor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SU logo no words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234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41F5B">
      <w:rPr>
        <w:rFonts w:asciiTheme="majorHAnsi" w:hAnsiTheme="majorHAnsi" w:cs="Arial"/>
        <w:b/>
        <w:sz w:val="28"/>
        <w:szCs w:val="28"/>
      </w:rPr>
      <w:t xml:space="preserve">Student Achievement Assessment Committee (SAAC) </w:t>
    </w:r>
    <w:r w:rsidRPr="00141F5B">
      <w:rPr>
        <w:rFonts w:asciiTheme="majorHAnsi" w:hAnsiTheme="majorHAnsi"/>
        <w:b/>
        <w:sz w:val="28"/>
        <w:szCs w:val="28"/>
      </w:rPr>
      <w:t>Short-Form Assessment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32110"/>
    <w:rsid w:val="00036121"/>
    <w:rsid w:val="000450E4"/>
    <w:rsid w:val="0005471A"/>
    <w:rsid w:val="00067905"/>
    <w:rsid w:val="000A2CDE"/>
    <w:rsid w:val="000A37EA"/>
    <w:rsid w:val="000B113C"/>
    <w:rsid w:val="000B5AA0"/>
    <w:rsid w:val="000C7A3B"/>
    <w:rsid w:val="000E18C7"/>
    <w:rsid w:val="00141F5B"/>
    <w:rsid w:val="00156CEE"/>
    <w:rsid w:val="001771D0"/>
    <w:rsid w:val="00192072"/>
    <w:rsid w:val="001A46BD"/>
    <w:rsid w:val="001A6375"/>
    <w:rsid w:val="002354FB"/>
    <w:rsid w:val="002430D7"/>
    <w:rsid w:val="00246807"/>
    <w:rsid w:val="002573BB"/>
    <w:rsid w:val="00296C45"/>
    <w:rsid w:val="002B375E"/>
    <w:rsid w:val="002C0BAC"/>
    <w:rsid w:val="002E7C65"/>
    <w:rsid w:val="00337D6F"/>
    <w:rsid w:val="003A2757"/>
    <w:rsid w:val="003A5241"/>
    <w:rsid w:val="00401BD5"/>
    <w:rsid w:val="00412EC7"/>
    <w:rsid w:val="00520786"/>
    <w:rsid w:val="0052403B"/>
    <w:rsid w:val="005755FB"/>
    <w:rsid w:val="005922E5"/>
    <w:rsid w:val="005F4CF6"/>
    <w:rsid w:val="0061436B"/>
    <w:rsid w:val="0062018C"/>
    <w:rsid w:val="00661672"/>
    <w:rsid w:val="00665FBC"/>
    <w:rsid w:val="00677477"/>
    <w:rsid w:val="00695C3F"/>
    <w:rsid w:val="00752726"/>
    <w:rsid w:val="00762BB7"/>
    <w:rsid w:val="00763650"/>
    <w:rsid w:val="00777E3B"/>
    <w:rsid w:val="007911E3"/>
    <w:rsid w:val="007E4F01"/>
    <w:rsid w:val="00871EE1"/>
    <w:rsid w:val="0088670D"/>
    <w:rsid w:val="008C3D1B"/>
    <w:rsid w:val="008F40C3"/>
    <w:rsid w:val="008F770A"/>
    <w:rsid w:val="00906FAA"/>
    <w:rsid w:val="00946ADA"/>
    <w:rsid w:val="00991429"/>
    <w:rsid w:val="00992D0B"/>
    <w:rsid w:val="009E02D0"/>
    <w:rsid w:val="00A00CE3"/>
    <w:rsid w:val="00A142B7"/>
    <w:rsid w:val="00A52F86"/>
    <w:rsid w:val="00AD0E5C"/>
    <w:rsid w:val="00B01F56"/>
    <w:rsid w:val="00B02A7F"/>
    <w:rsid w:val="00B84D21"/>
    <w:rsid w:val="00BC4841"/>
    <w:rsid w:val="00C35FDE"/>
    <w:rsid w:val="00C36D77"/>
    <w:rsid w:val="00C441D7"/>
    <w:rsid w:val="00C55377"/>
    <w:rsid w:val="00C61372"/>
    <w:rsid w:val="00C7554E"/>
    <w:rsid w:val="00D12B3B"/>
    <w:rsid w:val="00D16F55"/>
    <w:rsid w:val="00D20748"/>
    <w:rsid w:val="00D26541"/>
    <w:rsid w:val="00D67E27"/>
    <w:rsid w:val="00D71E0F"/>
    <w:rsid w:val="00D8274C"/>
    <w:rsid w:val="00D94DBA"/>
    <w:rsid w:val="00DF3C0D"/>
    <w:rsid w:val="00E15964"/>
    <w:rsid w:val="00E20AA5"/>
    <w:rsid w:val="00E243C2"/>
    <w:rsid w:val="00E73C7A"/>
    <w:rsid w:val="00EC40F4"/>
    <w:rsid w:val="00F24813"/>
    <w:rsid w:val="00F83A0A"/>
    <w:rsid w:val="00F8791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CF1BDD"/>
  <w14:defaultImageDpi w14:val="300"/>
  <w15:docId w15:val="{F89A9C55-5D21-4DC7-9C90-A0461615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customStyle="1" w:styleId="BigCheckbox">
    <w:name w:val="Big Checkbox"/>
    <w:basedOn w:val="DefaultParagraphFont"/>
    <w:uiPriority w:val="1"/>
    <w:rsid w:val="002573B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mturos@bg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134A9F-769B-466F-B79A-D2F236E3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3</cp:revision>
  <cp:lastPrinted>2018-04-20T22:54:00Z</cp:lastPrinted>
  <dcterms:created xsi:type="dcterms:W3CDTF">2021-05-07T14:36:00Z</dcterms:created>
  <dcterms:modified xsi:type="dcterms:W3CDTF">2021-05-07T14:37:00Z</dcterms:modified>
</cp:coreProperties>
</file>