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2B608" w14:textId="77777777" w:rsidR="00946ADA" w:rsidRPr="005B466D" w:rsidRDefault="00946ADA" w:rsidP="00946ADA">
      <w:pPr>
        <w:pBdr>
          <w:bottom w:val="single" w:sz="12" w:space="1" w:color="auto"/>
        </w:pBdr>
      </w:pPr>
      <w:r w:rsidRPr="005B466D">
        <w:rPr>
          <w:noProof/>
        </w:rPr>
        <w:drawing>
          <wp:inline distT="0" distB="0" distL="0" distR="0" wp14:anchorId="1E3C1DCC" wp14:editId="034FCAFE">
            <wp:extent cx="762000" cy="234462"/>
            <wp:effectExtent l="19050" t="0" r="0" b="0"/>
            <wp:docPr id="2" name="Picture 0" descr="BGSU logo no wor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SU logo no words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3886" w14:textId="59B9C2B8" w:rsidR="00752726" w:rsidRPr="005B466D" w:rsidRDefault="00920E8F" w:rsidP="00A32C83">
      <w:pPr>
        <w:pStyle w:val="Title"/>
        <w:rPr>
          <w:sz w:val="28"/>
          <w:szCs w:val="28"/>
        </w:rPr>
      </w:pPr>
      <w:r w:rsidRPr="005B466D">
        <w:rPr>
          <w:sz w:val="28"/>
          <w:szCs w:val="28"/>
        </w:rPr>
        <w:t xml:space="preserve">Co-Curricular </w:t>
      </w:r>
      <w:r w:rsidR="00C2097E" w:rsidRPr="005B466D">
        <w:rPr>
          <w:sz w:val="28"/>
          <w:szCs w:val="28"/>
        </w:rPr>
        <w:t xml:space="preserve">Assessment Plan </w:t>
      </w:r>
    </w:p>
    <w:p w14:paraId="51BFEFFC" w14:textId="77777777" w:rsidR="00D16F55" w:rsidRPr="005B466D" w:rsidRDefault="00D16F55" w:rsidP="00A32C83">
      <w:pPr>
        <w:pStyle w:val="Heading1"/>
        <w:rPr>
          <w:rFonts w:asciiTheme="minorHAnsi" w:hAnsiTheme="minorHAnsi"/>
          <w:color w:val="auto"/>
          <w:sz w:val="24"/>
          <w:szCs w:val="24"/>
        </w:rPr>
      </w:pPr>
      <w:r w:rsidRPr="005B466D">
        <w:rPr>
          <w:rFonts w:asciiTheme="minorHAnsi" w:hAnsiTheme="minorHAnsi"/>
          <w:color w:val="auto"/>
          <w:sz w:val="24"/>
          <w:szCs w:val="24"/>
        </w:rPr>
        <w:t>Program:</w:t>
      </w:r>
    </w:p>
    <w:p w14:paraId="3345DF66" w14:textId="0840ECE7" w:rsidR="00D16F55" w:rsidRPr="005B466D" w:rsidRDefault="00D16F55" w:rsidP="00A32C83">
      <w:pPr>
        <w:pStyle w:val="Heading1"/>
        <w:rPr>
          <w:rFonts w:cstheme="majorHAnsi"/>
          <w:color w:val="auto"/>
          <w:sz w:val="24"/>
          <w:szCs w:val="24"/>
        </w:rPr>
      </w:pPr>
      <w:r w:rsidRPr="005B466D">
        <w:rPr>
          <w:rFonts w:cstheme="majorHAnsi"/>
          <w:color w:val="auto"/>
          <w:sz w:val="24"/>
          <w:szCs w:val="24"/>
        </w:rPr>
        <w:t xml:space="preserve">Submitted By: </w:t>
      </w:r>
    </w:p>
    <w:p w14:paraId="3DCD1CAE" w14:textId="00D212FC" w:rsidR="005B5A97" w:rsidRPr="005B466D" w:rsidRDefault="005B5A97" w:rsidP="005B5A97"/>
    <w:p w14:paraId="162F03DF" w14:textId="349FEE99" w:rsidR="005B5A97" w:rsidRPr="005B466D" w:rsidRDefault="005B5A97" w:rsidP="005B5A97">
      <w:r w:rsidRPr="005B466D">
        <w:t>Date:</w:t>
      </w:r>
    </w:p>
    <w:p w14:paraId="76912E22" w14:textId="3AA3C44A" w:rsidR="00B32E2C" w:rsidRPr="005B466D" w:rsidRDefault="00B32E2C" w:rsidP="005B5A97"/>
    <w:p w14:paraId="2E39A517" w14:textId="77777777" w:rsidR="00B32E2C" w:rsidRPr="005B466D" w:rsidRDefault="00B32E2C" w:rsidP="00B32E2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5B466D">
        <w:rPr>
          <w:rStyle w:val="normaltextrun"/>
          <w:rFonts w:asciiTheme="minorHAnsi" w:hAnsiTheme="minorHAnsi" w:cstheme="minorHAnsi"/>
          <w:b/>
          <w:bCs/>
        </w:rPr>
        <w:t>BGSU Co-Curricular</w:t>
      </w:r>
      <w:r w:rsidRPr="005B466D">
        <w:rPr>
          <w:rStyle w:val="normaltextrun"/>
          <w:rFonts w:asciiTheme="minorHAnsi" w:hAnsiTheme="minorHAnsi" w:cstheme="minorHAnsi"/>
        </w:rPr>
        <w:t>: activities, experiences, and/or initiatives </w:t>
      </w:r>
      <w:r w:rsidRPr="005B466D">
        <w:rPr>
          <w:rStyle w:val="normaltextrun"/>
          <w:rFonts w:asciiTheme="minorHAnsi" w:hAnsiTheme="minorHAnsi" w:cstheme="minorHAnsi"/>
          <w:i/>
        </w:rPr>
        <w:t>primarily</w:t>
      </w:r>
      <w:r w:rsidRPr="005B466D">
        <w:rPr>
          <w:rStyle w:val="normaltextrun"/>
          <w:rFonts w:asciiTheme="minorHAnsi" w:hAnsiTheme="minorHAnsi" w:cstheme="minorHAnsi"/>
        </w:rPr>
        <w:t xml:space="preserve"> existing outside of formal degree completion content, processes, and/or disciplines that support the achievement of the University Learning Outcomes (emphasis on Integrative Learning, i.e., integrate, apply, and reflect and Engagement i.e., personal and social responsibility and engaging with others)</w:t>
      </w:r>
      <w:r w:rsidRPr="005B466D">
        <w:rPr>
          <w:rStyle w:val="eop"/>
          <w:rFonts w:asciiTheme="minorHAnsi" w:hAnsiTheme="minorHAnsi" w:cstheme="minorHAnsi"/>
        </w:rPr>
        <w:t> </w:t>
      </w:r>
    </w:p>
    <w:p w14:paraId="37AE2120" w14:textId="77777777" w:rsidR="00B32E2C" w:rsidRPr="005B466D" w:rsidRDefault="00B32E2C" w:rsidP="005B5A97"/>
    <w:p w14:paraId="47287DD0" w14:textId="0B04D326" w:rsidR="00B32E2C" w:rsidRPr="005B466D" w:rsidRDefault="009E1FEC" w:rsidP="00A32C83">
      <w:pPr>
        <w:pStyle w:val="Heading1"/>
        <w:rPr>
          <w:color w:val="auto"/>
          <w:sz w:val="24"/>
          <w:szCs w:val="24"/>
        </w:rPr>
      </w:pPr>
      <w:r w:rsidRPr="005B466D">
        <w:rPr>
          <w:b/>
          <w:bCs/>
          <w:color w:val="auto"/>
          <w:sz w:val="24"/>
          <w:szCs w:val="24"/>
        </w:rPr>
        <w:t>I. Program Learning Outcome</w:t>
      </w:r>
      <w:r w:rsidR="004934F1" w:rsidRPr="005B466D">
        <w:rPr>
          <w:b/>
          <w:bCs/>
          <w:color w:val="auto"/>
          <w:sz w:val="24"/>
          <w:szCs w:val="24"/>
        </w:rPr>
        <w:t xml:space="preserve"> Alignment</w:t>
      </w:r>
      <w:r w:rsidR="00BA45F7" w:rsidRPr="005B466D">
        <w:rPr>
          <w:b/>
          <w:bCs/>
          <w:color w:val="auto"/>
          <w:sz w:val="24"/>
          <w:szCs w:val="24"/>
        </w:rPr>
        <w:t xml:space="preserve"> </w:t>
      </w:r>
      <w:r w:rsidR="00BA45F7" w:rsidRPr="005B466D">
        <w:rPr>
          <w:color w:val="auto"/>
          <w:sz w:val="24"/>
          <w:szCs w:val="24"/>
        </w:rPr>
        <w:t>- Co-curricular programs have</w:t>
      </w:r>
      <w:r w:rsidR="00B32E2C" w:rsidRPr="005B466D">
        <w:rPr>
          <w:color w:val="auto"/>
          <w:sz w:val="24"/>
          <w:szCs w:val="24"/>
        </w:rPr>
        <w:t xml:space="preserve"> common learning outcomes relating to Connections to the Experience and Reflection-Self Assessment. These learning outcomes are adapted from the AAC&amp;U Integrative Learning VALUE Rubric. Below is a rubric illustrating the levels. </w:t>
      </w:r>
    </w:p>
    <w:p w14:paraId="3112CDE5" w14:textId="39718E60" w:rsidR="00B32E2C" w:rsidRPr="005B466D" w:rsidRDefault="00B32E2C" w:rsidP="00B32E2C"/>
    <w:p w14:paraId="546FDDF4" w14:textId="312EE349" w:rsidR="00B32E2C" w:rsidRPr="005B466D" w:rsidRDefault="00B32E2C" w:rsidP="00B32E2C">
      <w:r w:rsidRPr="005B466D">
        <w:rPr>
          <w:noProof/>
        </w:rPr>
        <w:drawing>
          <wp:inline distT="0" distB="0" distL="0" distR="0" wp14:anchorId="6ED241E1" wp14:editId="7EA1E8BF">
            <wp:extent cx="8595360" cy="2902585"/>
            <wp:effectExtent l="0" t="0" r="0" b="0"/>
            <wp:docPr id="3" name="Picture 2" descr="This is a table of the adapted AAC&amp;U Integrative Learning VALUE Rubric focusing on Connections to the Experience and Reflection and Self-Assessment. ">
              <a:extLst xmlns:a="http://schemas.openxmlformats.org/drawingml/2006/main">
                <a:ext uri="{FF2B5EF4-FFF2-40B4-BE49-F238E27FC236}">
                  <a16:creationId xmlns:a16="http://schemas.microsoft.com/office/drawing/2014/main" id="{A50D6238-E2DB-4DF9-9422-992A5FBC72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his is a table of the adapted AAC&amp;U Integrative Learning VALUE Rubric focusing on Connections to the Experience and Reflection and Self-Assessment. ">
                      <a:extLst>
                        <a:ext uri="{FF2B5EF4-FFF2-40B4-BE49-F238E27FC236}">
                          <a16:creationId xmlns:a16="http://schemas.microsoft.com/office/drawing/2014/main" id="{A50D6238-E2DB-4DF9-9422-992A5FBC72C5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36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DC3B9" w14:textId="43D36037" w:rsidR="00B32E2C" w:rsidRPr="005B466D" w:rsidRDefault="00BA45F7" w:rsidP="004148FD">
      <w:pPr>
        <w:pStyle w:val="Heading2"/>
        <w:rPr>
          <w:color w:val="auto"/>
          <w:sz w:val="24"/>
          <w:szCs w:val="24"/>
        </w:rPr>
      </w:pPr>
      <w:r w:rsidRPr="005B466D">
        <w:rPr>
          <w:b/>
          <w:bCs/>
          <w:color w:val="auto"/>
          <w:sz w:val="24"/>
          <w:szCs w:val="24"/>
        </w:rPr>
        <w:lastRenderedPageBreak/>
        <w:t xml:space="preserve"> </w:t>
      </w:r>
      <w:r w:rsidR="00B32E2C" w:rsidRPr="005B466D">
        <w:rPr>
          <w:b/>
          <w:bCs/>
          <w:color w:val="auto"/>
          <w:sz w:val="24"/>
          <w:szCs w:val="24"/>
        </w:rPr>
        <w:t>A. Program Learning Outcomes</w:t>
      </w:r>
      <w:r w:rsidR="00694B9D" w:rsidRPr="005B466D">
        <w:rPr>
          <w:b/>
          <w:bCs/>
          <w:color w:val="auto"/>
          <w:sz w:val="24"/>
          <w:szCs w:val="24"/>
        </w:rPr>
        <w:t xml:space="preserve"> (PLOs)</w:t>
      </w:r>
      <w:r w:rsidR="00694B9D" w:rsidRPr="005B466D">
        <w:rPr>
          <w:color w:val="auto"/>
          <w:sz w:val="24"/>
          <w:szCs w:val="24"/>
        </w:rPr>
        <w:t xml:space="preserve"> - PLOs should </w:t>
      </w:r>
      <w:r w:rsidR="00E57194" w:rsidRPr="005B466D">
        <w:rPr>
          <w:color w:val="auto"/>
          <w:sz w:val="24"/>
          <w:szCs w:val="24"/>
        </w:rPr>
        <w:t>align</w:t>
      </w:r>
      <w:r w:rsidR="00694B9D" w:rsidRPr="005B466D">
        <w:rPr>
          <w:color w:val="auto"/>
          <w:sz w:val="24"/>
          <w:szCs w:val="24"/>
        </w:rPr>
        <w:t xml:space="preserve"> with the University Learning Outcomes (ULOs). The ULOs are assessed using American </w:t>
      </w:r>
      <w:r w:rsidR="000C5057" w:rsidRPr="005B466D">
        <w:rPr>
          <w:color w:val="auto"/>
          <w:sz w:val="24"/>
          <w:szCs w:val="24"/>
        </w:rPr>
        <w:t xml:space="preserve">Association of </w:t>
      </w:r>
      <w:r w:rsidR="00694B9D" w:rsidRPr="005B466D">
        <w:rPr>
          <w:color w:val="auto"/>
          <w:sz w:val="24"/>
          <w:szCs w:val="24"/>
        </w:rPr>
        <w:t xml:space="preserve">Colleges and Universities (AAC&amp;U) VALUE Rubrics. </w:t>
      </w:r>
      <w:hyperlink r:id="rId10" w:history="1">
        <w:r w:rsidR="00694B9D" w:rsidRPr="005B466D">
          <w:rPr>
            <w:rStyle w:val="Hyperlink"/>
            <w:color w:val="auto"/>
            <w:sz w:val="24"/>
            <w:szCs w:val="24"/>
          </w:rPr>
          <w:t>https://www.aacu.org/value-rubrics</w:t>
        </w:r>
      </w:hyperlink>
      <w:r w:rsidR="00B725DC" w:rsidRPr="005B466D">
        <w:rPr>
          <w:color w:val="auto"/>
          <w:sz w:val="24"/>
          <w:szCs w:val="24"/>
        </w:rPr>
        <w:t xml:space="preserve">. The PLOs should be observable and measurable. </w:t>
      </w:r>
    </w:p>
    <w:p w14:paraId="17A6C077" w14:textId="77777777" w:rsidR="00694B9D" w:rsidRPr="005B466D" w:rsidRDefault="00694B9D" w:rsidP="00694B9D"/>
    <w:p w14:paraId="69A6E81B" w14:textId="258DF412" w:rsidR="00B32E2C" w:rsidRPr="005B466D" w:rsidRDefault="00B32E2C" w:rsidP="00B32E2C">
      <w:pPr>
        <w:rPr>
          <w:sz w:val="22"/>
          <w:szCs w:val="22"/>
        </w:rPr>
      </w:pPr>
      <w:r w:rsidRPr="005B466D">
        <w:rPr>
          <w:sz w:val="22"/>
          <w:szCs w:val="22"/>
        </w:rPr>
        <w:tab/>
        <w:t xml:space="preserve">1. </w:t>
      </w:r>
      <w:r w:rsidRPr="005B466D">
        <w:rPr>
          <w:b/>
          <w:i/>
          <w:sz w:val="22"/>
          <w:szCs w:val="22"/>
        </w:rPr>
        <w:t>Connections to Experience</w:t>
      </w:r>
      <w:r w:rsidRPr="005B466D">
        <w:rPr>
          <w:sz w:val="22"/>
          <w:szCs w:val="22"/>
        </w:rPr>
        <w:t xml:space="preserve"> - Connect relevant experience and academic knowledge in a way that deepens understanding and </w:t>
      </w:r>
      <w:r w:rsidRPr="005B466D">
        <w:rPr>
          <w:sz w:val="22"/>
          <w:szCs w:val="22"/>
        </w:rPr>
        <w:tab/>
        <w:t>broadens points of view</w:t>
      </w:r>
      <w:r w:rsidR="00694B9D" w:rsidRPr="005B466D">
        <w:rPr>
          <w:sz w:val="22"/>
          <w:szCs w:val="22"/>
        </w:rPr>
        <w:t xml:space="preserve"> [aligned with Integrative Learning]</w:t>
      </w:r>
      <w:r w:rsidR="00E57194" w:rsidRPr="005B466D">
        <w:rPr>
          <w:sz w:val="22"/>
          <w:szCs w:val="22"/>
        </w:rPr>
        <w:t xml:space="preserve"> </w:t>
      </w:r>
      <w:r w:rsidR="00E57194" w:rsidRPr="005B466D">
        <w:rPr>
          <w:sz w:val="22"/>
          <w:szCs w:val="22"/>
        </w:rPr>
        <w:br/>
      </w:r>
      <w:r w:rsidR="00E57194" w:rsidRPr="005B466D">
        <w:rPr>
          <w:sz w:val="22"/>
          <w:szCs w:val="22"/>
        </w:rPr>
        <w:tab/>
      </w:r>
      <w:r w:rsidR="00E57194" w:rsidRPr="005B466D">
        <w:rPr>
          <w:i/>
          <w:iCs/>
          <w:sz w:val="22"/>
          <w:szCs w:val="22"/>
        </w:rPr>
        <w:t>If your program has adapted the learning outcome language, please share the learning outcome below.</w:t>
      </w:r>
      <w:r w:rsidR="00E57194" w:rsidRPr="005B466D">
        <w:rPr>
          <w:sz w:val="22"/>
          <w:szCs w:val="22"/>
        </w:rPr>
        <w:t xml:space="preserve">  </w:t>
      </w:r>
    </w:p>
    <w:p w14:paraId="20EECCE7" w14:textId="77777777" w:rsidR="00E57194" w:rsidRPr="005B466D" w:rsidRDefault="00E57194" w:rsidP="00B32E2C">
      <w:pPr>
        <w:rPr>
          <w:sz w:val="22"/>
          <w:szCs w:val="22"/>
        </w:rPr>
      </w:pPr>
    </w:p>
    <w:p w14:paraId="17D0D91B" w14:textId="42258FB7" w:rsidR="00B32E2C" w:rsidRPr="005B466D" w:rsidRDefault="00B32E2C" w:rsidP="00B32E2C">
      <w:pPr>
        <w:rPr>
          <w:sz w:val="22"/>
          <w:szCs w:val="22"/>
        </w:rPr>
      </w:pPr>
    </w:p>
    <w:p w14:paraId="36072E15" w14:textId="2AF30059" w:rsidR="00B32E2C" w:rsidRPr="005B466D" w:rsidRDefault="00B32E2C" w:rsidP="00B32E2C">
      <w:pPr>
        <w:ind w:left="720"/>
        <w:rPr>
          <w:sz w:val="22"/>
          <w:szCs w:val="22"/>
        </w:rPr>
      </w:pPr>
      <w:r w:rsidRPr="005B466D">
        <w:rPr>
          <w:sz w:val="22"/>
          <w:szCs w:val="22"/>
        </w:rPr>
        <w:t xml:space="preserve">2. </w:t>
      </w:r>
      <w:r w:rsidRPr="005B466D">
        <w:rPr>
          <w:b/>
          <w:bCs/>
          <w:i/>
          <w:iCs/>
          <w:sz w:val="22"/>
          <w:szCs w:val="22"/>
        </w:rPr>
        <w:t>Reflection and Self-Assessment</w:t>
      </w:r>
      <w:r w:rsidRPr="005B466D">
        <w:rPr>
          <w:sz w:val="22"/>
          <w:szCs w:val="22"/>
        </w:rPr>
        <w:t xml:space="preserve"> - Design a future self, building upon past experiences, both successes and failures, that have occurred across multiple and diverse contexts.</w:t>
      </w:r>
      <w:r w:rsidR="00694B9D" w:rsidRPr="005B466D">
        <w:rPr>
          <w:sz w:val="22"/>
          <w:szCs w:val="22"/>
        </w:rPr>
        <w:t xml:space="preserve"> [aligned with Integrative Learning]</w:t>
      </w:r>
    </w:p>
    <w:p w14:paraId="47610F0D" w14:textId="0A23413D" w:rsidR="00E57194" w:rsidRPr="005B466D" w:rsidRDefault="00E57194" w:rsidP="00B32E2C">
      <w:pPr>
        <w:ind w:left="720"/>
        <w:rPr>
          <w:i/>
          <w:iCs/>
          <w:sz w:val="22"/>
          <w:szCs w:val="22"/>
        </w:rPr>
      </w:pPr>
      <w:r w:rsidRPr="005B466D">
        <w:rPr>
          <w:i/>
          <w:iCs/>
          <w:sz w:val="22"/>
          <w:szCs w:val="22"/>
        </w:rPr>
        <w:t xml:space="preserve">If your program has adapted the learning outcome language, please share the learning outcome below.  </w:t>
      </w:r>
    </w:p>
    <w:p w14:paraId="058A655B" w14:textId="77777777" w:rsidR="00E57194" w:rsidRPr="005B466D" w:rsidRDefault="00E57194" w:rsidP="00B32E2C">
      <w:pPr>
        <w:ind w:left="720"/>
        <w:rPr>
          <w:sz w:val="22"/>
          <w:szCs w:val="22"/>
        </w:rPr>
      </w:pPr>
    </w:p>
    <w:p w14:paraId="363D335F" w14:textId="64E88659" w:rsidR="00B32E2C" w:rsidRPr="005B466D" w:rsidRDefault="00B32E2C" w:rsidP="00B32E2C">
      <w:pPr>
        <w:ind w:left="720"/>
        <w:rPr>
          <w:sz w:val="22"/>
          <w:szCs w:val="22"/>
        </w:rPr>
      </w:pPr>
    </w:p>
    <w:p w14:paraId="4776DF12" w14:textId="2835D84B" w:rsidR="00B32E2C" w:rsidRPr="005B466D" w:rsidRDefault="00B32E2C" w:rsidP="00B32E2C">
      <w:pPr>
        <w:ind w:left="720"/>
        <w:rPr>
          <w:sz w:val="22"/>
          <w:szCs w:val="22"/>
        </w:rPr>
      </w:pPr>
      <w:r w:rsidRPr="005B466D">
        <w:rPr>
          <w:sz w:val="22"/>
          <w:szCs w:val="22"/>
        </w:rPr>
        <w:t xml:space="preserve">3. </w:t>
      </w:r>
      <w:r w:rsidRPr="005B466D">
        <w:rPr>
          <w:i/>
          <w:iCs/>
          <w:sz w:val="22"/>
          <w:szCs w:val="22"/>
        </w:rPr>
        <w:t>Additional Program Learning Outcomes (if applicable)</w:t>
      </w:r>
      <w:r w:rsidR="00694B9D" w:rsidRPr="005B466D">
        <w:rPr>
          <w:sz w:val="22"/>
          <w:szCs w:val="22"/>
        </w:rPr>
        <w:t xml:space="preserve"> - </w:t>
      </w:r>
      <w:r w:rsidR="00B725DC" w:rsidRPr="005B466D">
        <w:rPr>
          <w:sz w:val="22"/>
          <w:szCs w:val="22"/>
        </w:rPr>
        <w:t>I</w:t>
      </w:r>
      <w:r w:rsidR="00694B9D" w:rsidRPr="005B466D">
        <w:rPr>
          <w:sz w:val="22"/>
          <w:szCs w:val="22"/>
        </w:rPr>
        <w:t xml:space="preserve">dentify which ULOs the PLOs align with: Inquiry, Critical Thinking, Oral &amp; Written Communication, Information Literacy, Engagement, and/or Integrative Learning. </w:t>
      </w:r>
    </w:p>
    <w:p w14:paraId="3203CB0E" w14:textId="2E552A59" w:rsidR="00CB09F0" w:rsidRPr="005B466D" w:rsidRDefault="00B32E2C" w:rsidP="00694B9D">
      <w:pPr>
        <w:pStyle w:val="Heading1"/>
        <w:rPr>
          <w:color w:val="auto"/>
          <w:sz w:val="22"/>
          <w:szCs w:val="22"/>
        </w:rPr>
      </w:pPr>
      <w:r w:rsidRPr="005B466D">
        <w:rPr>
          <w:color w:val="auto"/>
          <w:sz w:val="24"/>
          <w:szCs w:val="24"/>
        </w:rPr>
        <w:t xml:space="preserve"> </w:t>
      </w:r>
    </w:p>
    <w:p w14:paraId="6F553348" w14:textId="397937FE" w:rsidR="00370D1A" w:rsidRPr="005B466D" w:rsidRDefault="00B725DC" w:rsidP="00370D1A">
      <w:pPr>
        <w:pStyle w:val="Heading1"/>
        <w:rPr>
          <w:rFonts w:cstheme="majorHAnsi"/>
          <w:color w:val="auto"/>
          <w:sz w:val="24"/>
          <w:szCs w:val="24"/>
        </w:rPr>
      </w:pPr>
      <w:r w:rsidRPr="005B466D">
        <w:rPr>
          <w:b/>
          <w:bCs/>
          <w:color w:val="auto"/>
          <w:sz w:val="24"/>
          <w:szCs w:val="24"/>
        </w:rPr>
        <w:t>B</w:t>
      </w:r>
      <w:r w:rsidR="00D70F05" w:rsidRPr="005B466D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="00D70F05" w:rsidRPr="005B466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D1BD3" w:rsidRPr="005B466D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370D1A" w:rsidRPr="005B466D">
        <w:rPr>
          <w:rFonts w:cstheme="majorHAnsi"/>
          <w:color w:val="auto"/>
          <w:sz w:val="24"/>
          <w:szCs w:val="24"/>
        </w:rPr>
        <w:t xml:space="preserve">Please describe the relationship between your program learning outcomes (PLOs) and </w:t>
      </w:r>
      <w:r w:rsidR="000C5057" w:rsidRPr="005B466D">
        <w:rPr>
          <w:rFonts w:cstheme="majorHAnsi"/>
          <w:color w:val="auto"/>
          <w:sz w:val="24"/>
          <w:szCs w:val="24"/>
        </w:rPr>
        <w:t>the experiences your students complete</w:t>
      </w:r>
      <w:r w:rsidR="00370D1A" w:rsidRPr="005B466D">
        <w:rPr>
          <w:rFonts w:cstheme="majorHAnsi"/>
          <w:color w:val="auto"/>
          <w:sz w:val="24"/>
          <w:szCs w:val="24"/>
        </w:rPr>
        <w:t xml:space="preserve">. </w:t>
      </w:r>
    </w:p>
    <w:p w14:paraId="092A103C" w14:textId="77777777" w:rsidR="00370D1A" w:rsidRPr="005B466D" w:rsidRDefault="00370D1A" w:rsidP="00370D1A">
      <w:pPr>
        <w:rPr>
          <w:sz w:val="22"/>
          <w:szCs w:val="22"/>
        </w:rPr>
      </w:pPr>
      <w:r w:rsidRPr="005B466D">
        <w:rPr>
          <w:sz w:val="22"/>
          <w:szCs w:val="22"/>
        </w:rPr>
        <w:t>[Enter Text Here]</w:t>
      </w:r>
    </w:p>
    <w:p w14:paraId="6D25FFC4" w14:textId="65D1EA47" w:rsidR="00370D1A" w:rsidRPr="005B466D" w:rsidRDefault="00370D1A" w:rsidP="00370D1A"/>
    <w:p w14:paraId="41158B2C" w14:textId="77777777" w:rsidR="00370D1A" w:rsidRPr="005B466D" w:rsidRDefault="00370D1A" w:rsidP="00370D1A"/>
    <w:p w14:paraId="21D0BE50" w14:textId="34CBBAA1" w:rsidR="005D1BD3" w:rsidRPr="005B466D" w:rsidRDefault="00370D1A" w:rsidP="004148FD">
      <w:pPr>
        <w:pStyle w:val="Heading2"/>
        <w:rPr>
          <w:rFonts w:cstheme="majorHAnsi"/>
          <w:b/>
          <w:bCs/>
          <w:color w:val="auto"/>
        </w:rPr>
      </w:pPr>
      <w:r w:rsidRPr="005B466D">
        <w:rPr>
          <w:rFonts w:cstheme="majorHAnsi"/>
          <w:b/>
          <w:bCs/>
          <w:color w:val="auto"/>
          <w:sz w:val="24"/>
          <w:szCs w:val="24"/>
        </w:rPr>
        <w:t xml:space="preserve">C. </w:t>
      </w:r>
      <w:r w:rsidR="005D1BD3" w:rsidRPr="005B466D">
        <w:rPr>
          <w:rFonts w:cstheme="majorHAnsi"/>
          <w:color w:val="auto"/>
          <w:sz w:val="24"/>
          <w:szCs w:val="24"/>
        </w:rPr>
        <w:t xml:space="preserve">How do you communicate the connection between your program learning outcomes (PLOs) and </w:t>
      </w:r>
      <w:r w:rsidR="000C5057" w:rsidRPr="005B466D">
        <w:rPr>
          <w:rFonts w:cstheme="majorHAnsi"/>
          <w:color w:val="auto"/>
          <w:sz w:val="24"/>
          <w:szCs w:val="24"/>
        </w:rPr>
        <w:t>the experiences your students complete</w:t>
      </w:r>
      <w:r w:rsidR="005D1BD3" w:rsidRPr="005B466D">
        <w:rPr>
          <w:rFonts w:cstheme="majorHAnsi"/>
          <w:color w:val="auto"/>
          <w:sz w:val="24"/>
          <w:szCs w:val="24"/>
        </w:rPr>
        <w:t xml:space="preserve"> to students, faculty, </w:t>
      </w:r>
      <w:r w:rsidR="000C5057" w:rsidRPr="005B466D">
        <w:rPr>
          <w:rFonts w:cstheme="majorHAnsi"/>
          <w:color w:val="auto"/>
          <w:sz w:val="24"/>
          <w:szCs w:val="24"/>
        </w:rPr>
        <w:t xml:space="preserve">staff, </w:t>
      </w:r>
      <w:r w:rsidR="005D1BD3" w:rsidRPr="005B466D">
        <w:rPr>
          <w:rFonts w:cstheme="majorHAnsi"/>
          <w:color w:val="auto"/>
          <w:sz w:val="24"/>
          <w:szCs w:val="24"/>
        </w:rPr>
        <w:t>and the community?</w:t>
      </w:r>
      <w:r w:rsidR="005D1BD3" w:rsidRPr="005B466D">
        <w:rPr>
          <w:rFonts w:cstheme="majorHAnsi"/>
          <w:b/>
          <w:bCs/>
          <w:color w:val="auto"/>
        </w:rPr>
        <w:t xml:space="preserve"> </w:t>
      </w:r>
    </w:p>
    <w:p w14:paraId="74D9F4D0" w14:textId="77777777" w:rsidR="005D1BD3" w:rsidRPr="005B466D" w:rsidRDefault="005D1BD3" w:rsidP="005D1BD3">
      <w:pPr>
        <w:rPr>
          <w:sz w:val="22"/>
          <w:szCs w:val="22"/>
        </w:rPr>
      </w:pPr>
      <w:r w:rsidRPr="005B466D">
        <w:rPr>
          <w:sz w:val="22"/>
          <w:szCs w:val="22"/>
        </w:rPr>
        <w:t>[Enter Text Here]</w:t>
      </w:r>
    </w:p>
    <w:p w14:paraId="4AC52E3B" w14:textId="098B62C8" w:rsidR="005D1BD3" w:rsidRPr="005B466D" w:rsidRDefault="005D1BD3" w:rsidP="005D1BD3"/>
    <w:p w14:paraId="435941DC" w14:textId="52407F65" w:rsidR="005D1BD3" w:rsidRPr="005B466D" w:rsidRDefault="005D1BD3" w:rsidP="005D1BD3"/>
    <w:p w14:paraId="0F6423CE" w14:textId="77777777" w:rsidR="005D1BD3" w:rsidRPr="005B466D" w:rsidRDefault="005D1BD3" w:rsidP="005D1BD3"/>
    <w:p w14:paraId="56E8747C" w14:textId="13D4BF79" w:rsidR="00D70F05" w:rsidRPr="005B466D" w:rsidRDefault="00370D1A" w:rsidP="004148FD">
      <w:pPr>
        <w:pStyle w:val="Heading2"/>
        <w:rPr>
          <w:color w:val="auto"/>
          <w:sz w:val="24"/>
          <w:szCs w:val="24"/>
        </w:rPr>
      </w:pPr>
      <w:r w:rsidRPr="005B466D">
        <w:rPr>
          <w:b/>
          <w:bCs/>
          <w:color w:val="auto"/>
          <w:sz w:val="24"/>
          <w:szCs w:val="24"/>
        </w:rPr>
        <w:t>D</w:t>
      </w:r>
      <w:r w:rsidR="005D1BD3" w:rsidRPr="005B466D">
        <w:rPr>
          <w:b/>
          <w:bCs/>
          <w:color w:val="auto"/>
          <w:sz w:val="24"/>
          <w:szCs w:val="24"/>
        </w:rPr>
        <w:t xml:space="preserve">. </w:t>
      </w:r>
      <w:r w:rsidR="000C5057" w:rsidRPr="005B466D">
        <w:rPr>
          <w:color w:val="auto"/>
          <w:sz w:val="24"/>
          <w:szCs w:val="24"/>
        </w:rPr>
        <w:t xml:space="preserve">If you are in the process of reviewing and/or revising your PLOs, please describe where you are in this process (include dates), who has been involved, and what led you to this process? </w:t>
      </w:r>
      <w:r w:rsidR="000C5057" w:rsidRPr="005B466D">
        <w:rPr>
          <w:b/>
          <w:bCs/>
          <w:i/>
          <w:iCs/>
          <w:color w:val="auto"/>
          <w:sz w:val="24"/>
          <w:szCs w:val="24"/>
        </w:rPr>
        <w:t>If you are not in the process of reviewing or revising your PLOs, please indicate with a N/A.</w:t>
      </w:r>
      <w:r w:rsidR="000C5057" w:rsidRPr="005B466D">
        <w:rPr>
          <w:b/>
          <w:bCs/>
          <w:i/>
          <w:iCs/>
          <w:color w:val="auto"/>
        </w:rPr>
        <w:t xml:space="preserve">  </w:t>
      </w:r>
    </w:p>
    <w:p w14:paraId="3EC4A7BC" w14:textId="77777777" w:rsidR="00CB09F0" w:rsidRPr="005B466D" w:rsidRDefault="00CB09F0" w:rsidP="00A32C83">
      <w:pPr>
        <w:rPr>
          <w:sz w:val="22"/>
          <w:szCs w:val="22"/>
        </w:rPr>
      </w:pPr>
      <w:r w:rsidRPr="005B466D">
        <w:rPr>
          <w:sz w:val="22"/>
          <w:szCs w:val="22"/>
        </w:rPr>
        <w:t>[Enter Text Here]</w:t>
      </w:r>
    </w:p>
    <w:p w14:paraId="7A4DD0FA" w14:textId="185811C6" w:rsidR="00D70F05" w:rsidRPr="005B466D" w:rsidRDefault="00D70F05" w:rsidP="00D16F55">
      <w:pPr>
        <w:rPr>
          <w:rFonts w:asciiTheme="majorHAnsi" w:hAnsiTheme="majorHAnsi"/>
        </w:rPr>
      </w:pPr>
    </w:p>
    <w:p w14:paraId="05AE8511" w14:textId="77777777" w:rsidR="00192D3F" w:rsidRPr="005B466D" w:rsidRDefault="00192D3F" w:rsidP="00D16F55">
      <w:pPr>
        <w:rPr>
          <w:rFonts w:asciiTheme="majorHAnsi" w:hAnsiTheme="majorHAnsi"/>
        </w:rPr>
      </w:pPr>
    </w:p>
    <w:p w14:paraId="60BBFF24" w14:textId="4F6359A1" w:rsidR="00523E05" w:rsidRPr="005B466D" w:rsidRDefault="00523E05" w:rsidP="00A32C83">
      <w:pPr>
        <w:pStyle w:val="Heading1"/>
        <w:rPr>
          <w:color w:val="auto"/>
          <w:sz w:val="24"/>
          <w:szCs w:val="24"/>
        </w:rPr>
      </w:pPr>
      <w:r w:rsidRPr="005B466D">
        <w:rPr>
          <w:b/>
          <w:bCs/>
          <w:color w:val="auto"/>
          <w:sz w:val="24"/>
          <w:szCs w:val="24"/>
        </w:rPr>
        <w:lastRenderedPageBreak/>
        <w:t>II.</w:t>
      </w:r>
      <w:r w:rsidRPr="005B466D">
        <w:rPr>
          <w:color w:val="auto"/>
          <w:sz w:val="24"/>
          <w:szCs w:val="24"/>
        </w:rPr>
        <w:t xml:space="preserve"> </w:t>
      </w:r>
      <w:r w:rsidRPr="005B466D">
        <w:rPr>
          <w:b/>
          <w:bCs/>
          <w:color w:val="auto"/>
          <w:sz w:val="24"/>
          <w:szCs w:val="24"/>
        </w:rPr>
        <w:t>Multi-Year Learning Outcome Assessment Plan</w:t>
      </w:r>
      <w:r w:rsidR="00920E8F" w:rsidRPr="005B466D">
        <w:rPr>
          <w:b/>
          <w:bCs/>
          <w:color w:val="auto"/>
          <w:sz w:val="24"/>
          <w:szCs w:val="24"/>
        </w:rPr>
        <w:t xml:space="preserve"> </w:t>
      </w:r>
      <w:r w:rsidR="007045D2" w:rsidRPr="005B466D">
        <w:rPr>
          <w:color w:val="auto"/>
          <w:sz w:val="24"/>
          <w:szCs w:val="24"/>
        </w:rPr>
        <w:t>–</w:t>
      </w:r>
      <w:r w:rsidR="00C7018D" w:rsidRPr="005B466D">
        <w:rPr>
          <w:color w:val="auto"/>
        </w:rPr>
        <w:t xml:space="preserve"> </w:t>
      </w:r>
      <w:r w:rsidR="00C7018D" w:rsidRPr="005B466D">
        <w:rPr>
          <w:color w:val="auto"/>
          <w:sz w:val="24"/>
          <w:szCs w:val="24"/>
        </w:rPr>
        <w:t xml:space="preserve">You can assess your program learning outcomes in </w:t>
      </w:r>
      <w:r w:rsidR="009C03C3" w:rsidRPr="005B466D">
        <w:rPr>
          <w:color w:val="auto"/>
          <w:sz w:val="24"/>
          <w:szCs w:val="24"/>
        </w:rPr>
        <w:t>final, summative assessment</w:t>
      </w:r>
      <w:r w:rsidR="00C7018D" w:rsidRPr="005B466D">
        <w:rPr>
          <w:color w:val="auto"/>
          <w:sz w:val="24"/>
          <w:szCs w:val="24"/>
        </w:rPr>
        <w:t xml:space="preserve">s </w:t>
      </w:r>
      <w:r w:rsidR="004002F9" w:rsidRPr="005B466D">
        <w:rPr>
          <w:color w:val="auto"/>
          <w:sz w:val="24"/>
          <w:szCs w:val="24"/>
        </w:rPr>
        <w:t>where students should achieve the highest level of the PLO</w:t>
      </w:r>
      <w:r w:rsidR="00243C76" w:rsidRPr="005B466D">
        <w:rPr>
          <w:color w:val="auto"/>
          <w:sz w:val="24"/>
          <w:szCs w:val="24"/>
        </w:rPr>
        <w:t>.</w:t>
      </w:r>
      <w:r w:rsidR="000E217D" w:rsidRPr="005B466D">
        <w:rPr>
          <w:color w:val="auto"/>
          <w:sz w:val="24"/>
          <w:szCs w:val="24"/>
        </w:rPr>
        <w:t xml:space="preserve"> </w:t>
      </w:r>
      <w:r w:rsidR="00DD419B" w:rsidRPr="005B466D">
        <w:rPr>
          <w:color w:val="auto"/>
          <w:sz w:val="24"/>
          <w:szCs w:val="24"/>
        </w:rPr>
        <w:t>You also can assess the PLO</w:t>
      </w:r>
      <w:r w:rsidR="00C7018D" w:rsidRPr="005B466D">
        <w:rPr>
          <w:color w:val="auto"/>
          <w:sz w:val="24"/>
          <w:szCs w:val="24"/>
        </w:rPr>
        <w:t>s</w:t>
      </w:r>
      <w:r w:rsidR="00DD419B" w:rsidRPr="005B466D">
        <w:rPr>
          <w:color w:val="auto"/>
          <w:sz w:val="24"/>
          <w:szCs w:val="24"/>
        </w:rPr>
        <w:t xml:space="preserve"> via formative assessments where you are introducing and reinforcing the PLO concepts.</w:t>
      </w:r>
    </w:p>
    <w:p w14:paraId="582A1CEA" w14:textId="6015C801" w:rsidR="000E217D" w:rsidRPr="005B466D" w:rsidRDefault="000E217D" w:rsidP="00D16F55">
      <w:pPr>
        <w:rPr>
          <w:rFonts w:asciiTheme="majorHAnsi" w:hAnsiTheme="majorHAnsi"/>
          <w:b/>
          <w:sz w:val="22"/>
          <w:szCs w:val="22"/>
        </w:rPr>
      </w:pPr>
    </w:p>
    <w:p w14:paraId="4DC1FF2E" w14:textId="4E8DFFB6" w:rsidR="00370D1A" w:rsidRPr="005B466D" w:rsidRDefault="0069725E" w:rsidP="00370D1A">
      <w:pPr>
        <w:pStyle w:val="ListParagraph"/>
        <w:numPr>
          <w:ilvl w:val="0"/>
          <w:numId w:val="1"/>
        </w:numPr>
        <w:rPr>
          <w:rFonts w:asciiTheme="majorHAnsi" w:hAnsiTheme="majorHAnsi"/>
          <w:b/>
          <w:szCs w:val="24"/>
        </w:rPr>
      </w:pPr>
      <w:r w:rsidRPr="005B466D">
        <w:rPr>
          <w:rFonts w:asciiTheme="majorHAnsi" w:hAnsiTheme="majorHAnsi"/>
          <w:b/>
          <w:szCs w:val="24"/>
        </w:rPr>
        <w:t>Experience</w:t>
      </w:r>
      <w:r w:rsidR="00370D1A" w:rsidRPr="005B466D">
        <w:rPr>
          <w:rFonts w:asciiTheme="majorHAnsi" w:hAnsiTheme="majorHAnsi"/>
          <w:b/>
          <w:szCs w:val="24"/>
        </w:rPr>
        <w:t xml:space="preserve"> Plan –</w:t>
      </w:r>
      <w:r w:rsidR="00F82E48" w:rsidRPr="005B466D">
        <w:rPr>
          <w:rFonts w:asciiTheme="majorHAnsi" w:hAnsiTheme="majorHAnsi"/>
          <w:b/>
          <w:szCs w:val="24"/>
        </w:rPr>
        <w:t xml:space="preserve"> </w:t>
      </w:r>
      <w:r w:rsidR="00370D1A" w:rsidRPr="005B466D">
        <w:rPr>
          <w:rFonts w:asciiTheme="majorHAnsi" w:hAnsiTheme="majorHAnsi"/>
          <w:szCs w:val="24"/>
        </w:rPr>
        <w:t xml:space="preserve">Identify the experiences where the learning outcomes are Introduced, Reinforced, and Assessed in the following table for each of the program learning outcomes.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1"/>
        <w:gridCol w:w="3381"/>
        <w:gridCol w:w="3382"/>
        <w:gridCol w:w="3382"/>
      </w:tblGrid>
      <w:tr w:rsidR="005B466D" w:rsidRPr="005B466D" w14:paraId="26117C6D" w14:textId="77777777" w:rsidTr="008703D7">
        <w:tc>
          <w:tcPr>
            <w:tcW w:w="3381" w:type="dxa"/>
            <w:vMerge w:val="restart"/>
          </w:tcPr>
          <w:p w14:paraId="26675F9B" w14:textId="77777777" w:rsidR="00370D1A" w:rsidRPr="005B466D" w:rsidRDefault="00370D1A" w:rsidP="008703D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Program Learning Outcomes</w:t>
            </w:r>
          </w:p>
        </w:tc>
        <w:tc>
          <w:tcPr>
            <w:tcW w:w="10145" w:type="dxa"/>
            <w:gridSpan w:val="3"/>
          </w:tcPr>
          <w:p w14:paraId="66CB7341" w14:textId="77777777" w:rsidR="00370D1A" w:rsidRPr="005B466D" w:rsidRDefault="00370D1A" w:rsidP="008703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 xml:space="preserve">Experience List </w:t>
            </w:r>
          </w:p>
        </w:tc>
      </w:tr>
      <w:tr w:rsidR="005B466D" w:rsidRPr="005B466D" w14:paraId="236E20F9" w14:textId="77777777" w:rsidTr="008703D7">
        <w:tc>
          <w:tcPr>
            <w:tcW w:w="3381" w:type="dxa"/>
            <w:vMerge/>
          </w:tcPr>
          <w:p w14:paraId="07DF2616" w14:textId="77777777" w:rsidR="00370D1A" w:rsidRPr="005B466D" w:rsidRDefault="00370D1A" w:rsidP="008703D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1" w:type="dxa"/>
          </w:tcPr>
          <w:p w14:paraId="16C4CE38" w14:textId="77777777" w:rsidR="00370D1A" w:rsidRPr="005B466D" w:rsidRDefault="00370D1A" w:rsidP="008703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Introduced</w:t>
            </w:r>
          </w:p>
        </w:tc>
        <w:tc>
          <w:tcPr>
            <w:tcW w:w="3382" w:type="dxa"/>
          </w:tcPr>
          <w:p w14:paraId="172804FA" w14:textId="77777777" w:rsidR="00370D1A" w:rsidRPr="005B466D" w:rsidRDefault="00370D1A" w:rsidP="008703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Reinforced</w:t>
            </w:r>
          </w:p>
        </w:tc>
        <w:tc>
          <w:tcPr>
            <w:tcW w:w="3382" w:type="dxa"/>
          </w:tcPr>
          <w:p w14:paraId="75539AFF" w14:textId="77777777" w:rsidR="00370D1A" w:rsidRPr="005B466D" w:rsidRDefault="00370D1A" w:rsidP="008703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Final Assessment</w:t>
            </w:r>
          </w:p>
        </w:tc>
      </w:tr>
      <w:tr w:rsidR="005B466D" w:rsidRPr="005B466D" w14:paraId="44CAC57B" w14:textId="77777777" w:rsidTr="008703D7">
        <w:tc>
          <w:tcPr>
            <w:tcW w:w="3381" w:type="dxa"/>
          </w:tcPr>
          <w:p w14:paraId="48DFD449" w14:textId="77777777" w:rsidR="00370D1A" w:rsidRPr="005B466D" w:rsidRDefault="0069725E" w:rsidP="008703D7">
            <w:pPr>
              <w:rPr>
                <w:rFonts w:asciiTheme="majorHAnsi" w:hAnsiTheme="majorHAnsi"/>
                <w:b/>
                <w:i/>
                <w:iCs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i/>
                <w:iCs/>
                <w:sz w:val="22"/>
                <w:szCs w:val="22"/>
              </w:rPr>
              <w:t>Connections to the Experience</w:t>
            </w:r>
          </w:p>
          <w:p w14:paraId="52F3BF81" w14:textId="3C9C07B1" w:rsidR="0069725E" w:rsidRPr="005B466D" w:rsidRDefault="0069725E" w:rsidP="008703D7">
            <w:pPr>
              <w:rPr>
                <w:rFonts w:asciiTheme="majorHAnsi" w:hAnsiTheme="maj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3381" w:type="dxa"/>
          </w:tcPr>
          <w:p w14:paraId="6C06A9E7" w14:textId="77777777" w:rsidR="00370D1A" w:rsidRPr="005B466D" w:rsidRDefault="00370D1A" w:rsidP="008703D7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82" w:type="dxa"/>
          </w:tcPr>
          <w:p w14:paraId="56B0EE4A" w14:textId="77777777" w:rsidR="00370D1A" w:rsidRPr="005B466D" w:rsidRDefault="00370D1A" w:rsidP="008703D7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82" w:type="dxa"/>
          </w:tcPr>
          <w:p w14:paraId="5CB271F6" w14:textId="77777777" w:rsidR="00370D1A" w:rsidRPr="005B466D" w:rsidRDefault="00370D1A" w:rsidP="008703D7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</w:p>
        </w:tc>
      </w:tr>
      <w:tr w:rsidR="005B466D" w:rsidRPr="005B466D" w14:paraId="14FAF77C" w14:textId="77777777" w:rsidTr="008703D7">
        <w:tc>
          <w:tcPr>
            <w:tcW w:w="3381" w:type="dxa"/>
          </w:tcPr>
          <w:p w14:paraId="2035977D" w14:textId="77777777" w:rsidR="00370D1A" w:rsidRPr="005B466D" w:rsidRDefault="0069725E" w:rsidP="008703D7">
            <w:pPr>
              <w:rPr>
                <w:rFonts w:asciiTheme="majorHAnsi" w:hAnsiTheme="majorHAnsi"/>
                <w:b/>
                <w:i/>
                <w:iCs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i/>
                <w:iCs/>
                <w:sz w:val="22"/>
                <w:szCs w:val="22"/>
              </w:rPr>
              <w:t xml:space="preserve">Reflection and Self-Assessment </w:t>
            </w:r>
          </w:p>
          <w:p w14:paraId="3206D4BA" w14:textId="4DDFDD32" w:rsidR="0069725E" w:rsidRPr="005B466D" w:rsidRDefault="0069725E" w:rsidP="008703D7">
            <w:pPr>
              <w:rPr>
                <w:rFonts w:asciiTheme="majorHAnsi" w:hAnsiTheme="maj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3381" w:type="dxa"/>
          </w:tcPr>
          <w:p w14:paraId="4B1BC3A1" w14:textId="77777777" w:rsidR="00370D1A" w:rsidRPr="005B466D" w:rsidRDefault="00370D1A" w:rsidP="008703D7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82" w:type="dxa"/>
          </w:tcPr>
          <w:p w14:paraId="032CCC16" w14:textId="77777777" w:rsidR="00370D1A" w:rsidRPr="005B466D" w:rsidRDefault="00370D1A" w:rsidP="008703D7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82" w:type="dxa"/>
          </w:tcPr>
          <w:p w14:paraId="689E1E3D" w14:textId="77777777" w:rsidR="00370D1A" w:rsidRPr="005B466D" w:rsidRDefault="00370D1A" w:rsidP="008703D7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</w:p>
        </w:tc>
      </w:tr>
      <w:tr w:rsidR="00370D1A" w:rsidRPr="005B466D" w14:paraId="7BCF42F5" w14:textId="77777777" w:rsidTr="008703D7">
        <w:tc>
          <w:tcPr>
            <w:tcW w:w="3381" w:type="dxa"/>
          </w:tcPr>
          <w:p w14:paraId="279E2B8C" w14:textId="186C6165" w:rsidR="00370D1A" w:rsidRPr="005B466D" w:rsidRDefault="005A2E22" w:rsidP="008703D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A2E22"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  <w:t>Additional Program Learning Outcomes (if applicable)</w:t>
            </w:r>
          </w:p>
          <w:p w14:paraId="7AF51B0C" w14:textId="43016576" w:rsidR="0069725E" w:rsidRPr="005B466D" w:rsidRDefault="0069725E" w:rsidP="008703D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1" w:type="dxa"/>
          </w:tcPr>
          <w:p w14:paraId="281B94BF" w14:textId="77777777" w:rsidR="00370D1A" w:rsidRPr="005B466D" w:rsidRDefault="00370D1A" w:rsidP="008703D7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82" w:type="dxa"/>
          </w:tcPr>
          <w:p w14:paraId="452620C1" w14:textId="77777777" w:rsidR="00370D1A" w:rsidRPr="005B466D" w:rsidRDefault="00370D1A" w:rsidP="008703D7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82" w:type="dxa"/>
          </w:tcPr>
          <w:p w14:paraId="62C35CE2" w14:textId="77777777" w:rsidR="00370D1A" w:rsidRPr="005B466D" w:rsidRDefault="00370D1A" w:rsidP="008703D7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</w:p>
        </w:tc>
      </w:tr>
    </w:tbl>
    <w:p w14:paraId="5948B0AE" w14:textId="77777777" w:rsidR="00370D1A" w:rsidRPr="005B466D" w:rsidRDefault="00370D1A" w:rsidP="00370D1A">
      <w:pPr>
        <w:pStyle w:val="ListParagraph"/>
        <w:rPr>
          <w:rFonts w:asciiTheme="majorHAnsi" w:hAnsiTheme="majorHAnsi"/>
          <w:sz w:val="22"/>
          <w:szCs w:val="22"/>
        </w:rPr>
      </w:pPr>
    </w:p>
    <w:p w14:paraId="3EA6A881" w14:textId="77777777" w:rsidR="00CF744C" w:rsidRPr="005B466D" w:rsidRDefault="00CF744C" w:rsidP="00D16F55">
      <w:pPr>
        <w:rPr>
          <w:rFonts w:asciiTheme="majorHAnsi" w:hAnsiTheme="majorHAnsi"/>
          <w:b/>
          <w:sz w:val="22"/>
          <w:szCs w:val="22"/>
        </w:rPr>
      </w:pPr>
    </w:p>
    <w:p w14:paraId="757D208A" w14:textId="29A86466" w:rsidR="005E6D3E" w:rsidRPr="005B466D" w:rsidRDefault="00F63C8F" w:rsidP="00386AB4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5B466D">
        <w:rPr>
          <w:rStyle w:val="Heading2Char"/>
          <w:b/>
          <w:bCs/>
          <w:color w:val="auto"/>
          <w:sz w:val="24"/>
          <w:szCs w:val="24"/>
        </w:rPr>
        <w:t>Plan</w:t>
      </w:r>
      <w:r w:rsidR="00FB2D62" w:rsidRPr="005B466D">
        <w:rPr>
          <w:rStyle w:val="Heading2Char"/>
          <w:b/>
          <w:bCs/>
          <w:color w:val="auto"/>
          <w:sz w:val="24"/>
          <w:szCs w:val="24"/>
        </w:rPr>
        <w:t xml:space="preserve"> </w:t>
      </w:r>
      <w:r w:rsidR="00FB2D62" w:rsidRPr="005B466D">
        <w:rPr>
          <w:rFonts w:asciiTheme="majorHAnsi" w:hAnsiTheme="majorHAnsi"/>
          <w:b/>
          <w:szCs w:val="24"/>
        </w:rPr>
        <w:t>–</w:t>
      </w:r>
      <w:r w:rsidR="00F82E48" w:rsidRPr="005B466D">
        <w:rPr>
          <w:rFonts w:asciiTheme="majorHAnsi" w:hAnsiTheme="majorHAnsi"/>
          <w:b/>
          <w:szCs w:val="24"/>
        </w:rPr>
        <w:t xml:space="preserve"> </w:t>
      </w:r>
      <w:r w:rsidR="00386AB4" w:rsidRPr="005B466D">
        <w:rPr>
          <w:rFonts w:asciiTheme="majorHAnsi" w:hAnsiTheme="majorHAnsi"/>
          <w:szCs w:val="24"/>
        </w:rPr>
        <w:t xml:space="preserve">Identify which </w:t>
      </w:r>
      <w:r w:rsidR="00C7018D" w:rsidRPr="005B466D">
        <w:rPr>
          <w:rFonts w:asciiTheme="majorHAnsi" w:hAnsiTheme="majorHAnsi"/>
          <w:szCs w:val="24"/>
        </w:rPr>
        <w:t>experiences</w:t>
      </w:r>
      <w:r w:rsidR="00386AB4" w:rsidRPr="005B466D">
        <w:rPr>
          <w:rFonts w:asciiTheme="majorHAnsi" w:hAnsiTheme="majorHAnsi"/>
          <w:szCs w:val="24"/>
        </w:rPr>
        <w:t xml:space="preserve"> would best assess the PLO</w:t>
      </w:r>
      <w:r w:rsidR="005E6D3E" w:rsidRPr="005B466D">
        <w:rPr>
          <w:rFonts w:asciiTheme="majorHAnsi" w:hAnsiTheme="majorHAnsi"/>
          <w:szCs w:val="24"/>
        </w:rPr>
        <w:t>s</w:t>
      </w:r>
      <w:r w:rsidR="00386AB4" w:rsidRPr="005B466D">
        <w:rPr>
          <w:rFonts w:asciiTheme="majorHAnsi" w:hAnsiTheme="majorHAnsi"/>
          <w:szCs w:val="24"/>
        </w:rPr>
        <w:t xml:space="preserve">. The years identified </w:t>
      </w:r>
      <w:r w:rsidR="00DD5248" w:rsidRPr="005B466D">
        <w:rPr>
          <w:rFonts w:asciiTheme="majorHAnsi" w:hAnsiTheme="majorHAnsi"/>
          <w:szCs w:val="24"/>
        </w:rPr>
        <w:t>are</w:t>
      </w:r>
      <w:r w:rsidR="00386AB4" w:rsidRPr="005B466D">
        <w:rPr>
          <w:rFonts w:asciiTheme="majorHAnsi" w:hAnsiTheme="majorHAnsi"/>
          <w:szCs w:val="24"/>
        </w:rPr>
        <w:t xml:space="preserve"> when </w:t>
      </w:r>
      <w:r w:rsidR="005E6D3E" w:rsidRPr="005B466D">
        <w:rPr>
          <w:rFonts w:asciiTheme="majorHAnsi" w:hAnsiTheme="majorHAnsi"/>
          <w:szCs w:val="24"/>
        </w:rPr>
        <w:t>programs</w:t>
      </w:r>
      <w:r w:rsidR="00386AB4" w:rsidRPr="005B466D">
        <w:rPr>
          <w:rFonts w:asciiTheme="majorHAnsi" w:hAnsiTheme="majorHAnsi"/>
          <w:szCs w:val="24"/>
        </w:rPr>
        <w:t xml:space="preserve"> </w:t>
      </w:r>
      <w:r w:rsidR="00DD5248" w:rsidRPr="005B466D">
        <w:rPr>
          <w:rFonts w:asciiTheme="majorHAnsi" w:hAnsiTheme="majorHAnsi"/>
          <w:szCs w:val="24"/>
        </w:rPr>
        <w:t>collect</w:t>
      </w:r>
      <w:r w:rsidR="00386AB4" w:rsidRPr="005B466D">
        <w:rPr>
          <w:rFonts w:asciiTheme="majorHAnsi" w:hAnsiTheme="majorHAnsi"/>
          <w:szCs w:val="24"/>
        </w:rPr>
        <w:t xml:space="preserve"> data from the particular </w:t>
      </w:r>
      <w:r w:rsidR="00C7018D" w:rsidRPr="005B466D">
        <w:rPr>
          <w:rFonts w:asciiTheme="majorHAnsi" w:hAnsiTheme="majorHAnsi"/>
          <w:szCs w:val="24"/>
        </w:rPr>
        <w:t>experiences</w:t>
      </w:r>
      <w:r w:rsidR="00386AB4" w:rsidRPr="005B466D">
        <w:rPr>
          <w:rFonts w:asciiTheme="majorHAnsi" w:hAnsiTheme="majorHAnsi"/>
          <w:szCs w:val="24"/>
        </w:rPr>
        <w:t>.</w:t>
      </w:r>
      <w:r w:rsidR="003A0B0E" w:rsidRPr="005B466D">
        <w:rPr>
          <w:rFonts w:asciiTheme="majorHAnsi" w:hAnsiTheme="majorHAnsi"/>
          <w:szCs w:val="24"/>
        </w:rPr>
        <w:t xml:space="preserve"> Data for the academic year are submitted in a report </w:t>
      </w:r>
      <w:r w:rsidR="00C7018D" w:rsidRPr="005B466D">
        <w:rPr>
          <w:rFonts w:asciiTheme="majorHAnsi" w:hAnsiTheme="majorHAnsi"/>
          <w:szCs w:val="24"/>
        </w:rPr>
        <w:t>by June 30th of that year</w:t>
      </w:r>
      <w:r w:rsidR="003A0B0E" w:rsidRPr="005B466D">
        <w:rPr>
          <w:rFonts w:asciiTheme="majorHAnsi" w:hAnsiTheme="majorHAnsi"/>
          <w:szCs w:val="24"/>
        </w:rPr>
        <w:t xml:space="preserve">. </w:t>
      </w:r>
      <w:r w:rsidR="0062507A" w:rsidRPr="005B466D">
        <w:rPr>
          <w:rFonts w:asciiTheme="majorHAnsi" w:hAnsiTheme="majorHAnsi"/>
          <w:szCs w:val="24"/>
        </w:rPr>
        <w:t xml:space="preserve">Please note that you can gather assessment data on these </w:t>
      </w:r>
      <w:r w:rsidR="00C7018D" w:rsidRPr="005B466D">
        <w:rPr>
          <w:rFonts w:asciiTheme="majorHAnsi" w:hAnsiTheme="majorHAnsi"/>
          <w:szCs w:val="24"/>
        </w:rPr>
        <w:t>experiences</w:t>
      </w:r>
      <w:r w:rsidR="0062507A" w:rsidRPr="005B466D">
        <w:rPr>
          <w:rFonts w:asciiTheme="majorHAnsi" w:hAnsiTheme="majorHAnsi"/>
          <w:szCs w:val="24"/>
        </w:rPr>
        <w:t xml:space="preserve"> outside of the years identified.</w:t>
      </w:r>
      <w:r w:rsidR="000C0FD6">
        <w:rPr>
          <w:rFonts w:asciiTheme="majorHAnsi" w:hAnsiTheme="majorHAnsi"/>
          <w:szCs w:val="24"/>
        </w:rPr>
        <w:t xml:space="preserve"> In the next table, please identify when you will be assessing your program learning outcomes by noting the experience(s) in the corresponding year(s) box.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530"/>
        <w:gridCol w:w="1710"/>
        <w:gridCol w:w="1710"/>
        <w:gridCol w:w="1710"/>
        <w:gridCol w:w="1620"/>
        <w:gridCol w:w="1530"/>
        <w:gridCol w:w="1471"/>
      </w:tblGrid>
      <w:tr w:rsidR="005B466D" w:rsidRPr="005B466D" w14:paraId="0411D836" w14:textId="77777777" w:rsidTr="008B4907">
        <w:tc>
          <w:tcPr>
            <w:tcW w:w="2245" w:type="dxa"/>
            <w:vMerge w:val="restart"/>
          </w:tcPr>
          <w:p w14:paraId="69A0EDD5" w14:textId="0BD1ACEC" w:rsidR="00523E05" w:rsidRPr="005B466D" w:rsidRDefault="00523E05" w:rsidP="00D16F5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Learning Outcomes</w:t>
            </w:r>
          </w:p>
        </w:tc>
        <w:tc>
          <w:tcPr>
            <w:tcW w:w="11281" w:type="dxa"/>
            <w:gridSpan w:val="7"/>
          </w:tcPr>
          <w:p w14:paraId="4C2A0BC1" w14:textId="5385439A" w:rsidR="00523E05" w:rsidRPr="005B466D" w:rsidRDefault="005E6D3E" w:rsidP="00523E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 xml:space="preserve">Academic </w:t>
            </w:r>
            <w:r w:rsidR="00523E05" w:rsidRPr="005B466D">
              <w:rPr>
                <w:rFonts w:asciiTheme="majorHAnsi" w:hAnsiTheme="majorHAnsi"/>
                <w:b/>
                <w:sz w:val="22"/>
                <w:szCs w:val="22"/>
              </w:rPr>
              <w:t>Year</w:t>
            </w: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 xml:space="preserve"> (summer, fall, and spring)</w:t>
            </w:r>
          </w:p>
        </w:tc>
      </w:tr>
      <w:tr w:rsidR="005B466D" w:rsidRPr="005B466D" w14:paraId="38E0A5FF" w14:textId="77777777" w:rsidTr="008B4907">
        <w:tc>
          <w:tcPr>
            <w:tcW w:w="2245" w:type="dxa"/>
            <w:vMerge/>
          </w:tcPr>
          <w:p w14:paraId="3BA05514" w14:textId="77777777" w:rsidR="00CA4AB6" w:rsidRPr="005B466D" w:rsidRDefault="00CA4AB6" w:rsidP="00CA4AB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10ECA25B" w14:textId="0E34F1C8" w:rsidR="00CA4AB6" w:rsidRPr="005B466D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2021-2022</w:t>
            </w:r>
          </w:p>
        </w:tc>
        <w:tc>
          <w:tcPr>
            <w:tcW w:w="1710" w:type="dxa"/>
          </w:tcPr>
          <w:p w14:paraId="611D387A" w14:textId="5B8FFF69" w:rsidR="00CA4AB6" w:rsidRPr="005B466D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2022-2023</w:t>
            </w:r>
          </w:p>
        </w:tc>
        <w:tc>
          <w:tcPr>
            <w:tcW w:w="1710" w:type="dxa"/>
          </w:tcPr>
          <w:p w14:paraId="390C7BBC" w14:textId="28CDF8A8" w:rsidR="00CA4AB6" w:rsidRPr="005B466D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2023-2024</w:t>
            </w:r>
          </w:p>
        </w:tc>
        <w:tc>
          <w:tcPr>
            <w:tcW w:w="1710" w:type="dxa"/>
          </w:tcPr>
          <w:p w14:paraId="2EF3A5DA" w14:textId="3E2B08C3" w:rsidR="00CA4AB6" w:rsidRPr="005B466D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2024-2025</w:t>
            </w:r>
          </w:p>
        </w:tc>
        <w:tc>
          <w:tcPr>
            <w:tcW w:w="1620" w:type="dxa"/>
          </w:tcPr>
          <w:p w14:paraId="542E6BC5" w14:textId="4052BDFD" w:rsidR="00CA4AB6" w:rsidRPr="005B466D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2025-2026</w:t>
            </w:r>
          </w:p>
        </w:tc>
        <w:tc>
          <w:tcPr>
            <w:tcW w:w="1530" w:type="dxa"/>
          </w:tcPr>
          <w:p w14:paraId="13E93AA9" w14:textId="09B08251" w:rsidR="00CA4AB6" w:rsidRPr="005B466D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2026-2027</w:t>
            </w:r>
          </w:p>
        </w:tc>
        <w:tc>
          <w:tcPr>
            <w:tcW w:w="1471" w:type="dxa"/>
          </w:tcPr>
          <w:p w14:paraId="757C33EB" w14:textId="657F9C8E" w:rsidR="00CA4AB6" w:rsidRPr="005B466D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sz w:val="22"/>
                <w:szCs w:val="22"/>
              </w:rPr>
              <w:t>2027-2028</w:t>
            </w:r>
          </w:p>
        </w:tc>
      </w:tr>
      <w:tr w:rsidR="005B466D" w:rsidRPr="005B466D" w14:paraId="65529451" w14:textId="77777777" w:rsidTr="008B4907">
        <w:tc>
          <w:tcPr>
            <w:tcW w:w="2245" w:type="dxa"/>
          </w:tcPr>
          <w:p w14:paraId="62FD02F1" w14:textId="77777777" w:rsidR="005E6D3E" w:rsidRPr="005B466D" w:rsidRDefault="00920E8F" w:rsidP="0069725E">
            <w:pPr>
              <w:rPr>
                <w:rFonts w:asciiTheme="majorHAnsi" w:hAnsiTheme="majorHAnsi"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i/>
                <w:sz w:val="22"/>
                <w:szCs w:val="22"/>
              </w:rPr>
              <w:t>Connections to Experience</w:t>
            </w:r>
            <w:r w:rsidRPr="005B466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D4D0992" w14:textId="67FFFF96" w:rsidR="0069725E" w:rsidRPr="005B466D" w:rsidRDefault="0069725E" w:rsidP="0069725E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2F74E907" w14:textId="24317688" w:rsidR="00CA4AB6" w:rsidRPr="005B466D" w:rsidRDefault="00CA4AB6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331C73DB" w14:textId="6AF06A78" w:rsidR="00CA4AB6" w:rsidRPr="005B466D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659568E1" w14:textId="32FE903E" w:rsidR="00CA4AB6" w:rsidRPr="005B466D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2FE57527" w14:textId="7E62E52B" w:rsidR="00CA4AB6" w:rsidRPr="005B466D" w:rsidRDefault="00CA4AB6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CC24D9" w14:textId="7FBC85B8" w:rsidR="00CA4AB6" w:rsidRPr="005B466D" w:rsidRDefault="00CA4AB6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02AE5DD8" w14:textId="63744D0B" w:rsidR="00CA4AB6" w:rsidRPr="005B466D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471" w:type="dxa"/>
          </w:tcPr>
          <w:p w14:paraId="7652E61B" w14:textId="4F329B15" w:rsidR="00CA4AB6" w:rsidRPr="005B466D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  <w:tr w:rsidR="005B466D" w:rsidRPr="005B466D" w14:paraId="106D3019" w14:textId="77777777" w:rsidTr="008B4907">
        <w:tc>
          <w:tcPr>
            <w:tcW w:w="2245" w:type="dxa"/>
          </w:tcPr>
          <w:p w14:paraId="47199CAA" w14:textId="77777777" w:rsidR="005E6D3E" w:rsidRPr="005B466D" w:rsidRDefault="00920E8F" w:rsidP="00370D1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5B466D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Reflection and Self-Assessment </w:t>
            </w:r>
          </w:p>
          <w:p w14:paraId="2C10D798" w14:textId="1F66D582" w:rsidR="0069725E" w:rsidRPr="005B466D" w:rsidRDefault="0069725E" w:rsidP="00370D1A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1D2BB8D7" w14:textId="43C9C800" w:rsidR="00CA4AB6" w:rsidRPr="005B466D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315EC2AF" w14:textId="22B98FAE" w:rsidR="00CA4AB6" w:rsidRPr="005B466D" w:rsidRDefault="00CA4AB6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1B5F7E5B" w14:textId="59801BDB" w:rsidR="00CA4AB6" w:rsidRPr="005B466D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397F272D" w14:textId="113280B3" w:rsidR="00CA4AB6" w:rsidRPr="005B466D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0EB313" w14:textId="2F36C8D0" w:rsidR="00CA4AB6" w:rsidRPr="005B466D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74F8D5E9" w14:textId="591B8E64" w:rsidR="001D1A8E" w:rsidRPr="005B466D" w:rsidRDefault="001D1A8E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471" w:type="dxa"/>
          </w:tcPr>
          <w:p w14:paraId="09334F13" w14:textId="189CF97A" w:rsidR="00CA4AB6" w:rsidRPr="005B466D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  <w:tr w:rsidR="00C32AAB" w:rsidRPr="005B466D" w14:paraId="58DBEE0E" w14:textId="77777777" w:rsidTr="008B4907">
        <w:tc>
          <w:tcPr>
            <w:tcW w:w="2245" w:type="dxa"/>
          </w:tcPr>
          <w:p w14:paraId="47DAD84B" w14:textId="12B3E997" w:rsidR="005E6D3E" w:rsidRPr="005B466D" w:rsidRDefault="00920E8F" w:rsidP="00197635">
            <w:pPr>
              <w:rPr>
                <w:rFonts w:asciiTheme="majorHAnsi" w:hAnsiTheme="majorHAnsi"/>
                <w:iCs/>
                <w:sz w:val="22"/>
                <w:szCs w:val="22"/>
              </w:rPr>
            </w:pPr>
            <w:r w:rsidRPr="005B466D">
              <w:rPr>
                <w:rFonts w:asciiTheme="majorHAnsi" w:hAnsiTheme="majorHAnsi"/>
                <w:iCs/>
                <w:sz w:val="22"/>
                <w:szCs w:val="22"/>
              </w:rPr>
              <w:t>Additional Program Learning Outcomes (if applicable)</w:t>
            </w:r>
          </w:p>
        </w:tc>
        <w:tc>
          <w:tcPr>
            <w:tcW w:w="1530" w:type="dxa"/>
          </w:tcPr>
          <w:p w14:paraId="31A88B57" w14:textId="3E5087EF" w:rsidR="00C32AAB" w:rsidRPr="005B466D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29F65722" w14:textId="2D660813" w:rsidR="00C32AAB" w:rsidRPr="005B466D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6A79749D" w14:textId="21BB66DE" w:rsidR="00DD419B" w:rsidRPr="005B466D" w:rsidRDefault="00DD419B" w:rsidP="00C32A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14:paraId="507B8CE4" w14:textId="042F32C5" w:rsidR="00C32AAB" w:rsidRPr="005B466D" w:rsidRDefault="00C32AAB" w:rsidP="00C32AAB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D8E936" w14:textId="3E27492E" w:rsidR="00C32AAB" w:rsidRPr="005B466D" w:rsidRDefault="00C32AAB" w:rsidP="00C32AAB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5277830D" w14:textId="757ADE3C" w:rsidR="00C32AAB" w:rsidRPr="005B466D" w:rsidRDefault="00C32AAB" w:rsidP="00C32AA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71" w:type="dxa"/>
          </w:tcPr>
          <w:p w14:paraId="4DEB59AC" w14:textId="2F0A6DE9" w:rsidR="00C32AAB" w:rsidRPr="005B466D" w:rsidRDefault="00C32AAB" w:rsidP="00DD41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2737F28E" w14:textId="77777777" w:rsidR="00523E05" w:rsidRPr="005B466D" w:rsidRDefault="00523E05" w:rsidP="00D16F55">
      <w:pPr>
        <w:rPr>
          <w:rFonts w:asciiTheme="majorHAnsi" w:hAnsiTheme="majorHAnsi"/>
          <w:b/>
          <w:sz w:val="22"/>
          <w:szCs w:val="22"/>
        </w:rPr>
      </w:pPr>
    </w:p>
    <w:p w14:paraId="1AB9B0B0" w14:textId="5877AB68" w:rsidR="00523E05" w:rsidRPr="005B466D" w:rsidRDefault="00370D1A" w:rsidP="00D16F55">
      <w:pPr>
        <w:rPr>
          <w:rFonts w:asciiTheme="majorHAnsi" w:hAnsiTheme="majorHAnsi"/>
          <w:bCs/>
          <w:sz w:val="22"/>
          <w:szCs w:val="22"/>
        </w:rPr>
      </w:pPr>
      <w:r w:rsidRPr="005B466D">
        <w:rPr>
          <w:rFonts w:asciiTheme="majorHAnsi" w:hAnsiTheme="majorHAnsi"/>
          <w:b/>
          <w:sz w:val="22"/>
          <w:szCs w:val="22"/>
        </w:rPr>
        <w:t>C</w:t>
      </w:r>
      <w:r w:rsidR="00F63C8F" w:rsidRPr="005B466D">
        <w:rPr>
          <w:rFonts w:asciiTheme="majorHAnsi" w:hAnsiTheme="majorHAnsi"/>
          <w:b/>
          <w:sz w:val="22"/>
          <w:szCs w:val="22"/>
        </w:rPr>
        <w:t xml:space="preserve">. </w:t>
      </w:r>
      <w:r w:rsidRPr="005B466D">
        <w:rPr>
          <w:rFonts w:asciiTheme="majorHAnsi" w:hAnsiTheme="majorHAnsi"/>
          <w:bCs/>
          <w:sz w:val="22"/>
          <w:szCs w:val="22"/>
        </w:rPr>
        <w:t xml:space="preserve">Please provide a rationale for the selection of the timeframe and experiences for your assessment plan. </w:t>
      </w:r>
      <w:r w:rsidRPr="005B466D">
        <w:rPr>
          <w:rFonts w:asciiTheme="majorHAnsi" w:hAnsiTheme="majorHAnsi"/>
          <w:b/>
          <w:i/>
          <w:iCs/>
          <w:sz w:val="22"/>
          <w:szCs w:val="22"/>
        </w:rPr>
        <w:t>Be sure to include why you chose the experiences to assess and details about the assessments and rubrics to be used.</w:t>
      </w:r>
    </w:p>
    <w:p w14:paraId="444F6494" w14:textId="4978BB1C" w:rsidR="00192072" w:rsidRPr="005B466D" w:rsidRDefault="00CB09F0" w:rsidP="00D16F55">
      <w:pPr>
        <w:rPr>
          <w:rFonts w:asciiTheme="majorHAnsi" w:hAnsiTheme="majorHAnsi"/>
          <w:sz w:val="22"/>
          <w:szCs w:val="22"/>
        </w:rPr>
      </w:pPr>
      <w:r w:rsidRPr="005B466D">
        <w:rPr>
          <w:rFonts w:asciiTheme="majorHAnsi" w:hAnsiTheme="majorHAnsi"/>
          <w:sz w:val="22"/>
          <w:szCs w:val="22"/>
        </w:rPr>
        <w:t>[Enter Text Here]</w:t>
      </w:r>
    </w:p>
    <w:sectPr w:rsidR="00192072" w:rsidRPr="005B466D" w:rsidSect="007649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5840" w:h="12240" w:orient="landscape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F0C18" w14:textId="77777777" w:rsidR="00563190" w:rsidRDefault="00563190" w:rsidP="00E73C7A">
      <w:r>
        <w:separator/>
      </w:r>
    </w:p>
  </w:endnote>
  <w:endnote w:type="continuationSeparator" w:id="0">
    <w:p w14:paraId="4016C5BB" w14:textId="77777777" w:rsidR="00563190" w:rsidRDefault="00563190" w:rsidP="00E7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7EF87" w14:textId="77777777" w:rsidR="00F63C8F" w:rsidRDefault="00F63C8F" w:rsidP="00E921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016478" w14:textId="77777777" w:rsidR="00D70F05" w:rsidRDefault="00D7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CDFF1" w14:textId="79844B39" w:rsidR="00F63C8F" w:rsidRDefault="00F63C8F" w:rsidP="00E921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6AB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ADD9FA" w14:textId="7BE34269" w:rsidR="00FB2D62" w:rsidRPr="00A240F2" w:rsidRDefault="00197635">
    <w:pPr>
      <w:pStyle w:val="Footer"/>
      <w:rPr>
        <w:sz w:val="20"/>
        <w:szCs w:val="20"/>
      </w:rPr>
    </w:pPr>
    <w:r>
      <w:rPr>
        <w:sz w:val="20"/>
        <w:szCs w:val="20"/>
      </w:rPr>
      <w:t>4</w:t>
    </w:r>
    <w:r w:rsidR="00900A22">
      <w:rPr>
        <w:sz w:val="20"/>
        <w:szCs w:val="20"/>
      </w:rPr>
      <w:t>/</w:t>
    </w:r>
    <w:r>
      <w:rPr>
        <w:sz w:val="20"/>
        <w:szCs w:val="20"/>
      </w:rPr>
      <w:t>22</w:t>
    </w:r>
    <w:r w:rsidR="00900A22">
      <w:rPr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A7BDD" w14:textId="77777777" w:rsidR="00563190" w:rsidRDefault="00563190" w:rsidP="00E73C7A">
      <w:r>
        <w:separator/>
      </w:r>
    </w:p>
  </w:footnote>
  <w:footnote w:type="continuationSeparator" w:id="0">
    <w:p w14:paraId="3C03BD52" w14:textId="77777777" w:rsidR="00563190" w:rsidRDefault="00563190" w:rsidP="00E7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2AC17" w14:textId="26F19596" w:rsidR="00A32C83" w:rsidRDefault="00A32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33835" w14:textId="1D046466" w:rsidR="00A32C83" w:rsidRDefault="00A32C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863CE" w14:textId="35AF7393" w:rsidR="00A32C83" w:rsidRDefault="00A32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03B2C"/>
    <w:multiLevelType w:val="hybridMultilevel"/>
    <w:tmpl w:val="E7D8D68E"/>
    <w:lvl w:ilvl="0" w:tplc="F44EE5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55"/>
    <w:rsid w:val="00025847"/>
    <w:rsid w:val="00031EAE"/>
    <w:rsid w:val="00036121"/>
    <w:rsid w:val="00043190"/>
    <w:rsid w:val="000B20B9"/>
    <w:rsid w:val="000C0FD6"/>
    <w:rsid w:val="000C5057"/>
    <w:rsid w:val="000E217D"/>
    <w:rsid w:val="000E51A3"/>
    <w:rsid w:val="00104318"/>
    <w:rsid w:val="001176DC"/>
    <w:rsid w:val="00130CEC"/>
    <w:rsid w:val="00150B38"/>
    <w:rsid w:val="001624EE"/>
    <w:rsid w:val="00192072"/>
    <w:rsid w:val="00192D3F"/>
    <w:rsid w:val="00194CF9"/>
    <w:rsid w:val="00197635"/>
    <w:rsid w:val="001A46BD"/>
    <w:rsid w:val="001D1A8E"/>
    <w:rsid w:val="001F18A4"/>
    <w:rsid w:val="001F2472"/>
    <w:rsid w:val="00200FE0"/>
    <w:rsid w:val="00243C76"/>
    <w:rsid w:val="0025296E"/>
    <w:rsid w:val="00257421"/>
    <w:rsid w:val="002C6C31"/>
    <w:rsid w:val="00323101"/>
    <w:rsid w:val="00370D1A"/>
    <w:rsid w:val="00386AB4"/>
    <w:rsid w:val="003A0B0E"/>
    <w:rsid w:val="003A586C"/>
    <w:rsid w:val="004002F9"/>
    <w:rsid w:val="004148FD"/>
    <w:rsid w:val="004672E4"/>
    <w:rsid w:val="00486349"/>
    <w:rsid w:val="004934F1"/>
    <w:rsid w:val="004B7DD8"/>
    <w:rsid w:val="004E366E"/>
    <w:rsid w:val="004F5B97"/>
    <w:rsid w:val="00522808"/>
    <w:rsid w:val="00523E05"/>
    <w:rsid w:val="005378C3"/>
    <w:rsid w:val="00563190"/>
    <w:rsid w:val="00566A45"/>
    <w:rsid w:val="00566B7A"/>
    <w:rsid w:val="005A2E22"/>
    <w:rsid w:val="005B466D"/>
    <w:rsid w:val="005B5A97"/>
    <w:rsid w:val="005C3B22"/>
    <w:rsid w:val="005D0B51"/>
    <w:rsid w:val="005D1BD3"/>
    <w:rsid w:val="005E1753"/>
    <w:rsid w:val="005E6605"/>
    <w:rsid w:val="005E6D3E"/>
    <w:rsid w:val="0062507A"/>
    <w:rsid w:val="00694B9D"/>
    <w:rsid w:val="0069725E"/>
    <w:rsid w:val="0070057A"/>
    <w:rsid w:val="007045D2"/>
    <w:rsid w:val="00715D35"/>
    <w:rsid w:val="00720C14"/>
    <w:rsid w:val="00752726"/>
    <w:rsid w:val="00762C90"/>
    <w:rsid w:val="00764952"/>
    <w:rsid w:val="007D7BD0"/>
    <w:rsid w:val="00850EF6"/>
    <w:rsid w:val="008A24E7"/>
    <w:rsid w:val="008B4907"/>
    <w:rsid w:val="008D6CE1"/>
    <w:rsid w:val="00900A22"/>
    <w:rsid w:val="00920E8F"/>
    <w:rsid w:val="00946ADA"/>
    <w:rsid w:val="00975686"/>
    <w:rsid w:val="009C03C3"/>
    <w:rsid w:val="009D50B1"/>
    <w:rsid w:val="009E1FEC"/>
    <w:rsid w:val="00A240F2"/>
    <w:rsid w:val="00A32C83"/>
    <w:rsid w:val="00A455D7"/>
    <w:rsid w:val="00AA7E2D"/>
    <w:rsid w:val="00AC5C39"/>
    <w:rsid w:val="00AD0839"/>
    <w:rsid w:val="00AF0769"/>
    <w:rsid w:val="00AF3C37"/>
    <w:rsid w:val="00B3019D"/>
    <w:rsid w:val="00B3061D"/>
    <w:rsid w:val="00B32E2C"/>
    <w:rsid w:val="00B45332"/>
    <w:rsid w:val="00B725DC"/>
    <w:rsid w:val="00B73B58"/>
    <w:rsid w:val="00B74DFD"/>
    <w:rsid w:val="00BA45F7"/>
    <w:rsid w:val="00BD7235"/>
    <w:rsid w:val="00C2097E"/>
    <w:rsid w:val="00C32AAB"/>
    <w:rsid w:val="00C7018D"/>
    <w:rsid w:val="00CA4AB6"/>
    <w:rsid w:val="00CB09F0"/>
    <w:rsid w:val="00CF744C"/>
    <w:rsid w:val="00D16F55"/>
    <w:rsid w:val="00D2581B"/>
    <w:rsid w:val="00D457C2"/>
    <w:rsid w:val="00D70F05"/>
    <w:rsid w:val="00D82C2C"/>
    <w:rsid w:val="00DC5500"/>
    <w:rsid w:val="00DD419B"/>
    <w:rsid w:val="00DD5248"/>
    <w:rsid w:val="00E243C2"/>
    <w:rsid w:val="00E30009"/>
    <w:rsid w:val="00E57194"/>
    <w:rsid w:val="00E73C7A"/>
    <w:rsid w:val="00F053ED"/>
    <w:rsid w:val="00F55E68"/>
    <w:rsid w:val="00F63C8F"/>
    <w:rsid w:val="00F82E48"/>
    <w:rsid w:val="00F91755"/>
    <w:rsid w:val="00FA015D"/>
    <w:rsid w:val="00FB2D62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028CC"/>
  <w14:defaultImageDpi w14:val="330"/>
  <w15:docId w15:val="{34432ECD-0C97-42DE-903D-062D306B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C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7A"/>
  </w:style>
  <w:style w:type="paragraph" w:styleId="Footer">
    <w:name w:val="footer"/>
    <w:basedOn w:val="Normal"/>
    <w:link w:val="Foot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7A"/>
  </w:style>
  <w:style w:type="paragraph" w:styleId="FootnoteText">
    <w:name w:val="footnote text"/>
    <w:basedOn w:val="Normal"/>
    <w:link w:val="FootnoteTextChar"/>
    <w:uiPriority w:val="99"/>
    <w:unhideWhenUsed/>
    <w:rsid w:val="00036121"/>
  </w:style>
  <w:style w:type="character" w:customStyle="1" w:styleId="FootnoteTextChar">
    <w:name w:val="Footnote Text Char"/>
    <w:basedOn w:val="DefaultParagraphFont"/>
    <w:link w:val="FootnoteText"/>
    <w:uiPriority w:val="99"/>
    <w:rsid w:val="00036121"/>
  </w:style>
  <w:style w:type="character" w:styleId="FootnoteReference">
    <w:name w:val="footnote reference"/>
    <w:basedOn w:val="DefaultParagraphFont"/>
    <w:uiPriority w:val="99"/>
    <w:unhideWhenUsed/>
    <w:rsid w:val="000361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1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036121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D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3C8F"/>
  </w:style>
  <w:style w:type="paragraph" w:styleId="Title">
    <w:name w:val="Title"/>
    <w:basedOn w:val="Normal"/>
    <w:next w:val="Normal"/>
    <w:link w:val="TitleChar"/>
    <w:uiPriority w:val="10"/>
    <w:qFormat/>
    <w:rsid w:val="00A32C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32C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"/>
    <w:rsid w:val="00B32E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32E2C"/>
  </w:style>
  <w:style w:type="character" w:customStyle="1" w:styleId="eop">
    <w:name w:val="eop"/>
    <w:basedOn w:val="DefaultParagraphFont"/>
    <w:rsid w:val="00B32E2C"/>
  </w:style>
  <w:style w:type="character" w:styleId="UnresolvedMention">
    <w:name w:val="Unresolved Mention"/>
    <w:basedOn w:val="DefaultParagraphFont"/>
    <w:uiPriority w:val="99"/>
    <w:semiHidden/>
    <w:unhideWhenUsed/>
    <w:rsid w:val="00694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B9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148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acu.org/value-rubric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B3C81B-D2D0-44DE-A81F-4F6387EE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BGSU</dc:creator>
  <cp:keywords/>
  <dc:description/>
  <cp:lastModifiedBy>Jessica M. Turos</cp:lastModifiedBy>
  <cp:revision>5</cp:revision>
  <cp:lastPrinted>2019-03-07T16:25:00Z</cp:lastPrinted>
  <dcterms:created xsi:type="dcterms:W3CDTF">2022-04-22T13:58:00Z</dcterms:created>
  <dcterms:modified xsi:type="dcterms:W3CDTF">2022-07-07T17:07:00Z</dcterms:modified>
</cp:coreProperties>
</file>