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382" w:rsidRDefault="000A7382" w:rsidP="000A7382">
      <w:pPr>
        <w:contextualSpacing/>
        <w:jc w:val="center"/>
        <w:rPr>
          <w:b/>
          <w:bCs/>
          <w:color w:val="000000"/>
          <w:sz w:val="22"/>
          <w:szCs w:val="22"/>
        </w:rPr>
      </w:pPr>
      <w:r>
        <w:rPr>
          <w:b/>
          <w:bCs/>
          <w:color w:val="000000"/>
          <w:sz w:val="22"/>
          <w:szCs w:val="22"/>
        </w:rPr>
        <w:t xml:space="preserve">THE RELATIONSHIP OF GSW </w:t>
      </w:r>
      <w:r w:rsidRPr="00203769">
        <w:rPr>
          <w:b/>
          <w:bCs/>
          <w:color w:val="000000"/>
          <w:sz w:val="22"/>
          <w:szCs w:val="22"/>
        </w:rPr>
        <w:t xml:space="preserve">LEARNING OUTCOMES </w:t>
      </w:r>
      <w:r>
        <w:rPr>
          <w:b/>
          <w:bCs/>
          <w:color w:val="000000"/>
          <w:sz w:val="22"/>
          <w:szCs w:val="22"/>
        </w:rPr>
        <w:t>TO THE BGSU BOWLING GREEN PERSPECTIVES (BGP) ENGLISH COMPOSITION AND ORAL COMMUNICATION LEARNING OUTCOMES</w:t>
      </w:r>
    </w:p>
    <w:p w:rsidR="000A7382" w:rsidRPr="00203769" w:rsidRDefault="000A7382" w:rsidP="000A7382">
      <w:pPr>
        <w:contextualSpacing/>
        <w:jc w:val="center"/>
        <w:rPr>
          <w:b/>
          <w:bCs/>
          <w:color w:val="000000"/>
          <w:sz w:val="22"/>
          <w:szCs w:val="22"/>
        </w:rPr>
      </w:pPr>
    </w:p>
    <w:p w:rsidR="000A7382" w:rsidRPr="00203769" w:rsidRDefault="000A7382" w:rsidP="000A7382">
      <w:pPr>
        <w:contextualSpacing/>
        <w:jc w:val="center"/>
        <w:rPr>
          <w:b/>
          <w:bCs/>
          <w:color w:val="000000"/>
          <w:sz w:val="14"/>
          <w:szCs w:val="22"/>
        </w:rPr>
      </w:pPr>
    </w:p>
    <w:p w:rsidR="000A7382" w:rsidRDefault="000A7382" w:rsidP="000A7382">
      <w:pPr>
        <w:contextualSpacing/>
        <w:rPr>
          <w:bCs/>
          <w:color w:val="000000"/>
          <w:sz w:val="22"/>
          <w:szCs w:val="22"/>
        </w:rPr>
      </w:pPr>
      <w:r w:rsidRPr="00203769">
        <w:rPr>
          <w:bCs/>
          <w:color w:val="000000"/>
          <w:sz w:val="22"/>
          <w:szCs w:val="22"/>
        </w:rPr>
        <w:t xml:space="preserve">In the table below, the Bowling Green Perspective (BGP) University Learning Outcomes for English Composition and Oral Communication (ECOC) are listed alongside their corresponding abbreviated GSW Learning Outcomes.  </w:t>
      </w:r>
    </w:p>
    <w:p w:rsidR="000A7382" w:rsidRPr="00203769" w:rsidRDefault="000A7382" w:rsidP="000A7382">
      <w:pPr>
        <w:contextualSpacing/>
        <w:rPr>
          <w:bCs/>
          <w:color w:val="000000"/>
          <w:sz w:val="22"/>
          <w:szCs w:val="22"/>
        </w:rPr>
      </w:pPr>
      <w:bookmarkStart w:id="0" w:name="_GoBack"/>
      <w:bookmarkEnd w:id="0"/>
    </w:p>
    <w:tbl>
      <w:tblPr>
        <w:tblpPr w:leftFromText="180" w:rightFromText="180" w:vertAnchor="text" w:horzAnchor="margin" w:tblpXSpec="center" w:tblpY="214"/>
        <w:tblW w:w="10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5297"/>
        <w:gridCol w:w="5297"/>
      </w:tblGrid>
      <w:tr w:rsidR="000A7382" w:rsidRPr="00203769" w:rsidTr="0002721B">
        <w:trPr>
          <w:trHeight w:val="325"/>
        </w:trPr>
        <w:tc>
          <w:tcPr>
            <w:tcW w:w="5297" w:type="dxa"/>
            <w:shd w:val="clear" w:color="auto" w:fill="BFBFBF"/>
            <w:vAlign w:val="center"/>
          </w:tcPr>
          <w:p w:rsidR="000A7382" w:rsidRPr="00203769" w:rsidRDefault="000A7382" w:rsidP="0002721B">
            <w:pPr>
              <w:jc w:val="center"/>
              <w:rPr>
                <w:rFonts w:eastAsia="Calibri"/>
                <w:b/>
                <w:sz w:val="18"/>
                <w:szCs w:val="22"/>
              </w:rPr>
            </w:pPr>
            <w:r w:rsidRPr="00203769">
              <w:rPr>
                <w:rFonts w:eastAsia="Calibri"/>
                <w:b/>
                <w:sz w:val="18"/>
                <w:szCs w:val="22"/>
              </w:rPr>
              <w:t>BGP Learning Outcomes:</w:t>
            </w:r>
          </w:p>
          <w:p w:rsidR="000A7382" w:rsidRPr="00203769" w:rsidRDefault="000A7382" w:rsidP="0002721B">
            <w:pPr>
              <w:jc w:val="center"/>
              <w:rPr>
                <w:rFonts w:eastAsia="Calibri"/>
                <w:b/>
                <w:sz w:val="18"/>
                <w:szCs w:val="22"/>
              </w:rPr>
            </w:pPr>
            <w:r w:rsidRPr="00203769">
              <w:rPr>
                <w:rFonts w:eastAsia="Calibri"/>
                <w:b/>
                <w:sz w:val="18"/>
                <w:szCs w:val="22"/>
              </w:rPr>
              <w:t>English Composition &amp; Oral Communication (ECOC)</w:t>
            </w:r>
          </w:p>
        </w:tc>
        <w:tc>
          <w:tcPr>
            <w:tcW w:w="5297" w:type="dxa"/>
            <w:shd w:val="clear" w:color="auto" w:fill="BFBFBF"/>
            <w:vAlign w:val="center"/>
          </w:tcPr>
          <w:p w:rsidR="000A7382" w:rsidRPr="00203769" w:rsidRDefault="000A7382" w:rsidP="0002721B">
            <w:pPr>
              <w:jc w:val="center"/>
              <w:rPr>
                <w:rFonts w:eastAsia="Calibri"/>
                <w:b/>
                <w:sz w:val="18"/>
                <w:szCs w:val="22"/>
              </w:rPr>
            </w:pPr>
            <w:r w:rsidRPr="00203769">
              <w:rPr>
                <w:rFonts w:eastAsia="Calibri"/>
                <w:b/>
                <w:sz w:val="18"/>
                <w:szCs w:val="22"/>
              </w:rPr>
              <w:t>GSW Course Learning Outcomes</w:t>
            </w:r>
          </w:p>
          <w:p w:rsidR="000A7382" w:rsidRPr="00203769" w:rsidRDefault="000A7382" w:rsidP="0002721B">
            <w:pPr>
              <w:rPr>
                <w:rFonts w:eastAsia="Calibri"/>
                <w:b/>
                <w:sz w:val="18"/>
                <w:szCs w:val="22"/>
              </w:rPr>
            </w:pPr>
          </w:p>
        </w:tc>
      </w:tr>
      <w:tr w:rsidR="000A7382" w:rsidRPr="00203769" w:rsidTr="0002721B">
        <w:trPr>
          <w:trHeight w:val="424"/>
        </w:trPr>
        <w:tc>
          <w:tcPr>
            <w:tcW w:w="5297" w:type="dxa"/>
          </w:tcPr>
          <w:p w:rsidR="000A7382" w:rsidRPr="00203769" w:rsidRDefault="000A7382" w:rsidP="0002721B">
            <w:pPr>
              <w:contextualSpacing/>
              <w:rPr>
                <w:rFonts w:eastAsia="Calibri"/>
                <w:sz w:val="18"/>
                <w:szCs w:val="22"/>
              </w:rPr>
            </w:pPr>
            <w:r w:rsidRPr="00203769">
              <w:rPr>
                <w:rFonts w:eastAsia="Calibri"/>
                <w:b/>
                <w:sz w:val="18"/>
                <w:szCs w:val="22"/>
              </w:rPr>
              <w:t>ECOC 1. Formulate</w:t>
            </w:r>
            <w:r w:rsidRPr="00203769">
              <w:rPr>
                <w:rFonts w:eastAsia="Calibri"/>
                <w:sz w:val="18"/>
                <w:szCs w:val="22"/>
              </w:rPr>
              <w:t xml:space="preserve"> effective written and/or oral arguments which are based upon appropriate, credible research.</w:t>
            </w:r>
          </w:p>
        </w:tc>
        <w:tc>
          <w:tcPr>
            <w:tcW w:w="5297" w:type="dxa"/>
            <w:shd w:val="clear" w:color="auto" w:fill="auto"/>
          </w:tcPr>
          <w:p w:rsidR="000A7382" w:rsidRPr="00203769" w:rsidRDefault="000A7382" w:rsidP="0002721B">
            <w:pPr>
              <w:contextualSpacing/>
              <w:rPr>
                <w:rFonts w:eastAsia="Calibri"/>
                <w:sz w:val="18"/>
                <w:szCs w:val="22"/>
              </w:rPr>
            </w:pPr>
            <w:r w:rsidRPr="00203769">
              <w:rPr>
                <w:rFonts w:eastAsia="Calibri"/>
                <w:sz w:val="18"/>
                <w:szCs w:val="22"/>
              </w:rPr>
              <w:t>Engage in the electronic research and composing processes, including locating, evaluating, disseminating, using and acknowledging research, both textual and visual, from popular and scholarly electronic databases.</w:t>
            </w:r>
          </w:p>
        </w:tc>
      </w:tr>
      <w:tr w:rsidR="000A7382" w:rsidRPr="00203769" w:rsidTr="0002721B">
        <w:trPr>
          <w:trHeight w:val="838"/>
        </w:trPr>
        <w:tc>
          <w:tcPr>
            <w:tcW w:w="5297" w:type="dxa"/>
          </w:tcPr>
          <w:p w:rsidR="000A7382" w:rsidRPr="00203769" w:rsidRDefault="000A7382" w:rsidP="0002721B">
            <w:pPr>
              <w:contextualSpacing/>
              <w:rPr>
                <w:rFonts w:eastAsia="Calibri"/>
                <w:sz w:val="18"/>
                <w:szCs w:val="22"/>
              </w:rPr>
            </w:pPr>
            <w:r w:rsidRPr="00203769">
              <w:rPr>
                <w:rFonts w:eastAsia="Calibri"/>
                <w:b/>
                <w:sz w:val="18"/>
                <w:szCs w:val="22"/>
              </w:rPr>
              <w:t>ECOC 2. Construct</w:t>
            </w:r>
            <w:r w:rsidRPr="00203769">
              <w:rPr>
                <w:rFonts w:eastAsia="Calibri"/>
                <w:sz w:val="18"/>
                <w:szCs w:val="22"/>
              </w:rPr>
              <w:t xml:space="preserve"> materials which respond effectively to the needs of a variety of audiences, with an emphasis upon academic audiences.</w:t>
            </w:r>
          </w:p>
        </w:tc>
        <w:tc>
          <w:tcPr>
            <w:tcW w:w="5297" w:type="dxa"/>
            <w:shd w:val="clear" w:color="auto" w:fill="auto"/>
          </w:tcPr>
          <w:p w:rsidR="000A7382" w:rsidRPr="00203769" w:rsidRDefault="000A7382" w:rsidP="0002721B">
            <w:pPr>
              <w:contextualSpacing/>
              <w:rPr>
                <w:rFonts w:eastAsia="Calibri"/>
                <w:sz w:val="18"/>
                <w:szCs w:val="22"/>
              </w:rPr>
            </w:pPr>
            <w:r w:rsidRPr="00203769">
              <w:rPr>
                <w:rFonts w:eastAsia="Calibri"/>
                <w:sz w:val="18"/>
                <w:szCs w:val="22"/>
              </w:rPr>
              <w:t>Demonstrate the importance of values systems in academic writing, including the abilities to write effectively to audiences with opposing viewpoints, to participate in an active learning community that values academic honesty, and to recognize the place of writing within learning processes.</w:t>
            </w:r>
          </w:p>
        </w:tc>
      </w:tr>
      <w:tr w:rsidR="000A7382" w:rsidRPr="00203769" w:rsidTr="0002721B">
        <w:trPr>
          <w:trHeight w:val="748"/>
        </w:trPr>
        <w:tc>
          <w:tcPr>
            <w:tcW w:w="5297" w:type="dxa"/>
          </w:tcPr>
          <w:p w:rsidR="000A7382" w:rsidRPr="00203769" w:rsidRDefault="000A7382" w:rsidP="0002721B">
            <w:pPr>
              <w:rPr>
                <w:rFonts w:eastAsia="Calibri"/>
                <w:sz w:val="18"/>
                <w:szCs w:val="22"/>
              </w:rPr>
            </w:pPr>
            <w:r w:rsidRPr="00203769">
              <w:rPr>
                <w:rFonts w:eastAsia="Calibri"/>
                <w:b/>
                <w:sz w:val="18"/>
                <w:szCs w:val="22"/>
              </w:rPr>
              <w:t>ECOC 3. Analyze</w:t>
            </w:r>
            <w:r w:rsidRPr="00203769">
              <w:rPr>
                <w:rFonts w:eastAsia="Calibri"/>
                <w:sz w:val="18"/>
                <w:szCs w:val="22"/>
              </w:rPr>
              <w:t xml:space="preserve"> how the principles of rhetoric work together to promote effective communication. . </w:t>
            </w:r>
          </w:p>
        </w:tc>
        <w:tc>
          <w:tcPr>
            <w:tcW w:w="5297" w:type="dxa"/>
            <w:shd w:val="clear" w:color="auto" w:fill="auto"/>
          </w:tcPr>
          <w:p w:rsidR="000A7382" w:rsidRPr="00203769" w:rsidRDefault="000A7382" w:rsidP="0002721B">
            <w:pPr>
              <w:rPr>
                <w:rFonts w:eastAsia="Calibri"/>
                <w:sz w:val="18"/>
                <w:szCs w:val="22"/>
              </w:rPr>
            </w:pPr>
            <w:r w:rsidRPr="00203769">
              <w:rPr>
                <w:rFonts w:eastAsia="Calibri"/>
                <w:sz w:val="18"/>
                <w:szCs w:val="22"/>
              </w:rPr>
              <w:t xml:space="preserve">Practice the processes entailed in academic writing, including recursive processes for drafting texts, collaborative activities, the development of personalized strategies, and strategies for identifying and locating source materials. </w:t>
            </w:r>
          </w:p>
        </w:tc>
      </w:tr>
      <w:tr w:rsidR="000A7382" w:rsidRPr="00203769" w:rsidTr="0002721B">
        <w:trPr>
          <w:trHeight w:val="811"/>
        </w:trPr>
        <w:tc>
          <w:tcPr>
            <w:tcW w:w="5297" w:type="dxa"/>
          </w:tcPr>
          <w:p w:rsidR="000A7382" w:rsidRPr="00203769" w:rsidRDefault="000A7382" w:rsidP="0002721B">
            <w:pPr>
              <w:contextualSpacing/>
              <w:rPr>
                <w:rFonts w:eastAsia="Calibri"/>
                <w:sz w:val="18"/>
                <w:szCs w:val="22"/>
              </w:rPr>
            </w:pPr>
            <w:r w:rsidRPr="00203769">
              <w:rPr>
                <w:rFonts w:eastAsia="Calibri"/>
                <w:b/>
                <w:sz w:val="18"/>
                <w:szCs w:val="22"/>
              </w:rPr>
              <w:t xml:space="preserve">ECOC 5. Utilize </w:t>
            </w:r>
            <w:r w:rsidRPr="00203769">
              <w:rPr>
                <w:rFonts w:eastAsia="Calibri"/>
                <w:sz w:val="18"/>
                <w:szCs w:val="22"/>
              </w:rPr>
              <w:t>rhetorical strategies that are well-suited to the rhetorical situation, including appropriate voice, tone, and levels or formality.</w:t>
            </w:r>
          </w:p>
        </w:tc>
        <w:tc>
          <w:tcPr>
            <w:tcW w:w="5297" w:type="dxa"/>
            <w:shd w:val="clear" w:color="auto" w:fill="auto"/>
          </w:tcPr>
          <w:p w:rsidR="000A7382" w:rsidRPr="00203769" w:rsidRDefault="000A7382" w:rsidP="0002721B">
            <w:pPr>
              <w:contextualSpacing/>
              <w:rPr>
                <w:rFonts w:eastAsia="Calibri"/>
                <w:sz w:val="18"/>
                <w:szCs w:val="22"/>
              </w:rPr>
            </w:pPr>
            <w:r w:rsidRPr="00203769">
              <w:rPr>
                <w:rFonts w:eastAsia="Calibri"/>
                <w:sz w:val="18"/>
                <w:szCs w:val="22"/>
              </w:rPr>
              <w:t>Demonstrate rhetorical knowledge through writing in a variety of academic genres and to a variety of academic audiences.</w:t>
            </w:r>
          </w:p>
          <w:p w:rsidR="000A7382" w:rsidRPr="00203769" w:rsidRDefault="000A7382" w:rsidP="0002721B">
            <w:pPr>
              <w:contextualSpacing/>
              <w:rPr>
                <w:rFonts w:eastAsia="Calibri"/>
                <w:sz w:val="18"/>
                <w:szCs w:val="22"/>
              </w:rPr>
            </w:pPr>
          </w:p>
          <w:p w:rsidR="000A7382" w:rsidRPr="00203769" w:rsidRDefault="000A7382" w:rsidP="0002721B">
            <w:pPr>
              <w:contextualSpacing/>
              <w:rPr>
                <w:rFonts w:eastAsia="Calibri"/>
                <w:sz w:val="18"/>
                <w:szCs w:val="22"/>
              </w:rPr>
            </w:pPr>
            <w:r w:rsidRPr="00203769">
              <w:rPr>
                <w:rFonts w:eastAsia="Calibri"/>
                <w:sz w:val="18"/>
                <w:szCs w:val="22"/>
              </w:rPr>
              <w:t>Demonstrate knowledge of the conventions of academic writing, including format and documentation systems, coherence devices, conventional syntax, and control over surface features such as grammar, punctuation, mechanics, and spelling.</w:t>
            </w:r>
          </w:p>
        </w:tc>
      </w:tr>
      <w:tr w:rsidR="000A7382" w:rsidRPr="00203769" w:rsidTr="0002721B">
        <w:trPr>
          <w:trHeight w:val="658"/>
        </w:trPr>
        <w:tc>
          <w:tcPr>
            <w:tcW w:w="5297" w:type="dxa"/>
          </w:tcPr>
          <w:p w:rsidR="000A7382" w:rsidRPr="00203769" w:rsidRDefault="000A7382" w:rsidP="0002721B">
            <w:pPr>
              <w:contextualSpacing/>
              <w:rPr>
                <w:rFonts w:eastAsia="Calibri"/>
                <w:sz w:val="18"/>
                <w:szCs w:val="22"/>
              </w:rPr>
            </w:pPr>
            <w:r w:rsidRPr="00203769">
              <w:rPr>
                <w:rFonts w:eastAsia="Calibri"/>
                <w:b/>
                <w:sz w:val="18"/>
                <w:szCs w:val="22"/>
              </w:rPr>
              <w:t>ECOC 6. Demonstrate</w:t>
            </w:r>
            <w:r w:rsidRPr="00203769">
              <w:rPr>
                <w:rFonts w:eastAsia="Calibri"/>
                <w:sz w:val="18"/>
                <w:szCs w:val="22"/>
              </w:rPr>
              <w:t xml:space="preserve"> critical thinking, reading, and writing strategies when crafting arguments that synthesize multiple points of view.</w:t>
            </w:r>
          </w:p>
        </w:tc>
        <w:tc>
          <w:tcPr>
            <w:tcW w:w="5297" w:type="dxa"/>
            <w:shd w:val="clear" w:color="auto" w:fill="auto"/>
          </w:tcPr>
          <w:p w:rsidR="000A7382" w:rsidRPr="00203769" w:rsidRDefault="000A7382" w:rsidP="0002721B">
            <w:pPr>
              <w:contextualSpacing/>
              <w:rPr>
                <w:rFonts w:eastAsia="Calibri"/>
                <w:sz w:val="18"/>
                <w:szCs w:val="22"/>
              </w:rPr>
            </w:pPr>
            <w:r w:rsidRPr="00203769">
              <w:rPr>
                <w:rFonts w:eastAsia="Calibri"/>
                <w:sz w:val="18"/>
                <w:szCs w:val="22"/>
              </w:rPr>
              <w:t>Demonstrate critical thinking, reading, and writing skills through approaching academic writing assignments as a series of cognitive tasks, including engaging in multiple modes of inquiry, synthesizing multiple points of view, critiquing student and professional writing, and assessing source materials.</w:t>
            </w:r>
          </w:p>
        </w:tc>
      </w:tr>
    </w:tbl>
    <w:p w:rsidR="000A7382" w:rsidRPr="00203769" w:rsidRDefault="000A7382" w:rsidP="000A7382">
      <w:pPr>
        <w:widowControl w:val="0"/>
        <w:autoSpaceDE w:val="0"/>
        <w:autoSpaceDN w:val="0"/>
        <w:adjustRightInd w:val="0"/>
        <w:jc w:val="center"/>
        <w:rPr>
          <w:b/>
          <w:sz w:val="22"/>
          <w:szCs w:val="22"/>
        </w:rPr>
      </w:pPr>
    </w:p>
    <w:p w:rsidR="00643E2C" w:rsidRPr="000A7382" w:rsidRDefault="00643E2C" w:rsidP="000A7382">
      <w:pPr>
        <w:spacing w:after="200" w:line="276" w:lineRule="auto"/>
        <w:rPr>
          <w:b/>
          <w:sz w:val="22"/>
          <w:szCs w:val="22"/>
        </w:rPr>
      </w:pPr>
    </w:p>
    <w:sectPr w:rsidR="00643E2C" w:rsidRPr="000A73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382"/>
    <w:rsid w:val="000A7382"/>
    <w:rsid w:val="00643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76622-0D2B-4C90-A718-917AFFC7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38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Cheryl Hoy</dc:creator>
  <cp:keywords/>
  <dc:description/>
  <cp:lastModifiedBy>Dr Cheryl Hoy</cp:lastModifiedBy>
  <cp:revision>1</cp:revision>
  <dcterms:created xsi:type="dcterms:W3CDTF">2016-03-29T14:45:00Z</dcterms:created>
  <dcterms:modified xsi:type="dcterms:W3CDTF">2016-03-29T14:47:00Z</dcterms:modified>
</cp:coreProperties>
</file>